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both"/>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1"/>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1"/>
          <w:rFonts w:hint="eastAsia" w:ascii="楷体" w:hAnsi="楷体" w:eastAsia="楷体"/>
          <w:spacing w:val="-4"/>
          <w:sz w:val="28"/>
          <w:szCs w:val="28"/>
        </w:rPr>
        <w:t>木垒县老干部芦河松新疆曲子传承社活动补助经费</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1"/>
          <w:rFonts w:hint="eastAsia" w:ascii="楷体" w:hAnsi="楷体" w:eastAsia="楷体"/>
          <w:spacing w:val="-4"/>
          <w:sz w:val="28"/>
          <w:szCs w:val="28"/>
        </w:rPr>
        <w:t>木垒哈萨克自治县中共木垒哈萨克自治县委员会老干部局</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1"/>
          <w:rFonts w:hint="eastAsia" w:ascii="楷体" w:hAnsi="楷体" w:eastAsia="楷体"/>
          <w:spacing w:val="-4"/>
          <w:sz w:val="28"/>
          <w:szCs w:val="28"/>
        </w:rPr>
        <w:t>木垒哈萨克自治县中共木垒哈萨克自治县委员会老干部局</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1"/>
          <w:rFonts w:hint="eastAsia" w:ascii="楷体" w:hAnsi="楷体" w:eastAsia="楷体"/>
          <w:spacing w:val="-4"/>
          <w:sz w:val="32"/>
          <w:szCs w:val="32"/>
        </w:rPr>
        <w:t>孔玮颉</w:t>
      </w:r>
    </w:p>
    <w:p>
      <w:pPr>
        <w:spacing w:line="540" w:lineRule="exact"/>
        <w:ind w:left="273" w:firstLine="567"/>
        <w:rPr>
          <w:rFonts w:hint="eastAsia" w:ascii="仿宋_GB2312" w:hAnsi="黑体" w:cs="Arial"/>
          <w:sz w:val="36"/>
          <w:szCs w:val="36"/>
        </w:rPr>
      </w:pPr>
      <w:r>
        <w:rPr>
          <w:rFonts w:hint="eastAsia" w:hAnsi="宋体" w:eastAsia="仿宋_GB2312" w:cs="宋体"/>
          <w:kern w:val="0"/>
          <w:sz w:val="36"/>
          <w:szCs w:val="36"/>
        </w:rPr>
        <w:t>填报时间：</w:t>
      </w:r>
      <w:r>
        <w:rPr>
          <w:rStyle w:val="11"/>
          <w:rFonts w:hint="eastAsia" w:ascii="楷体" w:hAnsi="楷体" w:eastAsia="楷体"/>
          <w:spacing w:val="-4"/>
          <w:sz w:val="32"/>
          <w:szCs w:val="32"/>
        </w:rPr>
        <w:t>2024年03月25日</w:t>
      </w:r>
    </w:p>
    <w:p>
      <w:pPr>
        <w:pStyle w:val="2"/>
        <w:spacing w:line="360" w:lineRule="auto"/>
        <w:rPr>
          <w:rFonts w:ascii="仿宋_GB2312" w:hAnsi="黑体"/>
          <w:b w:val="0"/>
          <w:bCs w:val="0"/>
        </w:rPr>
      </w:pPr>
      <w:r>
        <w:rPr>
          <w:rFonts w:hint="eastAsia" w:ascii="仿宋_GB2312" w:hAnsi="黑体"/>
          <w:b w:val="0"/>
          <w:bCs w:val="0"/>
        </w:rPr>
        <w:t>一、基本情况</w:t>
      </w:r>
    </w:p>
    <w:p>
      <w:pPr>
        <w:pStyle w:val="3"/>
        <w:spacing w:line="360" w:lineRule="auto"/>
        <w:rPr>
          <w:rFonts w:ascii="仿宋_GB2312" w:hAnsi="黑体" w:eastAsia="仿宋_GB2312"/>
          <w:b w:val="0"/>
          <w:bCs w:val="0"/>
        </w:rPr>
      </w:pPr>
      <w:r>
        <w:rPr>
          <w:rFonts w:hint="eastAsia" w:ascii="仿宋_GB2312" w:hAnsi="黑体" w:eastAsia="仿宋_GB2312"/>
          <w:b w:val="0"/>
          <w:bCs w:val="0"/>
        </w:rPr>
        <w:t>（一）项目概况</w:t>
      </w:r>
    </w:p>
    <w:p>
      <w:pPr>
        <w:spacing w:line="360" w:lineRule="auto"/>
        <w:ind w:firstLine="600" w:firstLineChars="200"/>
        <w:rPr>
          <w:rFonts w:ascii="仿宋_GB2312" w:hAnsi="黑体"/>
        </w:rPr>
      </w:pPr>
      <w:r>
        <w:rPr>
          <w:rFonts w:hint="eastAsia" w:ascii="仿宋_GB2312" w:hAnsi="黑体"/>
        </w:rPr>
        <w:t>1.项目背景</w:t>
      </w:r>
    </w:p>
    <w:p>
      <w:pPr>
        <w:spacing w:line="360" w:lineRule="auto"/>
        <w:ind w:firstLine="600" w:firstLineChars="200"/>
        <w:rPr>
          <w:rFonts w:ascii="仿宋_GB2312" w:hAnsi="黑体"/>
        </w:rPr>
      </w:pPr>
      <w:r>
        <w:rPr>
          <w:rFonts w:hint="eastAsia" w:ascii="仿宋_GB2312" w:hAnsi="黑体"/>
        </w:rPr>
        <w:t>离退休老干部是社会、单位和家庭的一笔宝贵财富。我国历来有着尊老的优良传统,但是尊老不能停留到口头上，而是要化为实际行动,干部的尊重和关怀。老干部为社会和单位做出了贡献,离开工作岗位后进入退休生活,他们需要在身心上得到关怀。办公经费及其他必要支出，中共木垒哈萨克自治县委员会老干部局实施了木垒县老干部芦河松新疆曲子传承社活动补助经费项目经费项目。</w:t>
      </w:r>
    </w:p>
    <w:p>
      <w:pPr>
        <w:spacing w:line="360" w:lineRule="auto"/>
        <w:ind w:firstLine="600" w:firstLineChars="200"/>
        <w:rPr>
          <w:rFonts w:ascii="仿宋_GB2312" w:hAnsi="黑体"/>
        </w:rPr>
      </w:pPr>
      <w:r>
        <w:rPr>
          <w:rFonts w:hint="eastAsia" w:ascii="仿宋_GB2312" w:hAnsi="黑体"/>
        </w:rPr>
        <w:t>2.项目主要内容</w:t>
      </w:r>
    </w:p>
    <w:p>
      <w:pPr>
        <w:spacing w:line="360" w:lineRule="auto"/>
        <w:ind w:firstLine="600" w:firstLineChars="200"/>
        <w:rPr>
          <w:rFonts w:ascii="仿宋_GB2312" w:hAnsi="黑体"/>
        </w:rPr>
      </w:pPr>
      <w:r>
        <w:rPr>
          <w:rFonts w:hint="eastAsia" w:ascii="仿宋_GB2312" w:hAnsi="黑体"/>
        </w:rPr>
        <w:t>项目资金主要用于2023年文艺汇演工作经费支出，主要用于支付给木垒县老干部芦河松新疆曲子传承社。他们用于用于木垒县域内3次文化下乡演出各项经费支出，参加昌吉州新疆曲子汇演和各县观摩汇演2次的经费支出，丰富群众业余生活，传承新疆曲子文化。</w:t>
      </w:r>
    </w:p>
    <w:p>
      <w:pPr>
        <w:spacing w:line="360" w:lineRule="auto"/>
        <w:ind w:firstLine="600" w:firstLineChars="200"/>
        <w:rPr>
          <w:rFonts w:ascii="仿宋_GB2312" w:hAnsi="黑体"/>
        </w:rPr>
      </w:pPr>
      <w:r>
        <w:rPr>
          <w:rFonts w:hint="eastAsia" w:ascii="仿宋_GB2312" w:hAnsi="黑体"/>
        </w:rPr>
        <w:t>3.项目实施情况</w:t>
      </w:r>
    </w:p>
    <w:p>
      <w:pPr>
        <w:spacing w:line="360" w:lineRule="auto"/>
        <w:ind w:firstLine="600" w:firstLineChars="200"/>
        <w:rPr>
          <w:rFonts w:ascii="仿宋_GB2312" w:hAnsi="黑体"/>
        </w:rPr>
      </w:pPr>
      <w:r>
        <w:rPr>
          <w:rFonts w:hint="eastAsia" w:ascii="仿宋_GB2312" w:hAnsi="黑体"/>
        </w:rPr>
        <w:t>本项目由中共木垒哈萨克自治县委员会老干部局牵头，主要对木垒县老干部芦河松新疆曲子传承社进行补助。</w:t>
      </w:r>
    </w:p>
    <w:p>
      <w:pPr>
        <w:spacing w:line="360" w:lineRule="auto"/>
        <w:ind w:firstLine="600" w:firstLineChars="200"/>
        <w:rPr>
          <w:rFonts w:ascii="仿宋_GB2312" w:hAnsi="黑体"/>
        </w:rPr>
      </w:pPr>
      <w:r>
        <w:rPr>
          <w:rFonts w:hint="eastAsia" w:ascii="仿宋_GB2312" w:hAnsi="黑体"/>
        </w:rPr>
        <w:t>自2023年5月开始，中共木垒哈萨克自治县委员会老干部局工作人员已完成该项资金拨付至木垒县老干部芦河松新疆曲子传承社。</w:t>
      </w:r>
    </w:p>
    <w:p>
      <w:pPr>
        <w:spacing w:line="360" w:lineRule="auto"/>
        <w:ind w:firstLine="600" w:firstLineChars="200"/>
        <w:rPr>
          <w:rFonts w:ascii="仿宋_GB2312" w:hAnsi="黑体"/>
        </w:rPr>
      </w:pPr>
      <w:r>
        <w:rPr>
          <w:rFonts w:hint="eastAsia" w:ascii="仿宋_GB2312" w:hAnsi="黑体"/>
        </w:rPr>
        <w:t>4.资金投入和使用情况</w:t>
      </w:r>
    </w:p>
    <w:p>
      <w:pPr>
        <w:spacing w:line="360" w:lineRule="auto"/>
        <w:ind w:firstLine="600" w:firstLineChars="200"/>
        <w:rPr>
          <w:rFonts w:ascii="仿宋_GB2312" w:hAnsi="黑体"/>
        </w:rPr>
      </w:pPr>
      <w:r>
        <w:rPr>
          <w:rFonts w:hint="eastAsia" w:ascii="仿宋_GB2312" w:hAnsi="黑体"/>
        </w:rPr>
        <w:t>木垒县老干部芦河松新疆曲子传承社活动补助经费项目资金于2023年4月1日</w:t>
      </w:r>
      <w:bookmarkStart w:id="20" w:name="_GoBack"/>
      <w:bookmarkEnd w:id="20"/>
      <w:r>
        <w:rPr>
          <w:rFonts w:hint="eastAsia" w:ascii="仿宋_GB2312" w:hAnsi="黑体"/>
          <w:lang w:eastAsia="zh-CN"/>
        </w:rPr>
        <w:t>新疆维吾尔自治区</w:t>
      </w:r>
      <w:r>
        <w:rPr>
          <w:rFonts w:hint="eastAsia" w:ascii="仿宋_GB2312" w:hAnsi="黑体"/>
        </w:rPr>
        <w:t>财政局下发的昌州财预【2021】76号文件安排资金为5万元，为上级财政资金，实际到位率5万元，资金到位率100%，实际执行5万元，执行率100%，资金落实到位。为确保项目资金的安全有效使用、安全运行，提高资金的使用效率，我单位严格按照中共木垒哈萨克自治县委员会老干部局财务会计内部控制制度执行，资金由财政大平台统一拨付，由财政监管，严禁随意调整预算，改变支出用途，做到专款专用，严禁截留、挪用、挤占项目资金等违规违纪问题的发生。</w:t>
      </w:r>
    </w:p>
    <w:p>
      <w:pPr>
        <w:pStyle w:val="3"/>
        <w:spacing w:line="360" w:lineRule="auto"/>
        <w:rPr>
          <w:rFonts w:ascii="仿宋_GB2312" w:hAnsi="黑体" w:eastAsia="仿宋_GB2312"/>
          <w:b w:val="0"/>
          <w:bCs w:val="0"/>
        </w:rPr>
      </w:pPr>
      <w:r>
        <w:rPr>
          <w:rFonts w:hint="eastAsia" w:ascii="仿宋_GB2312" w:hAnsi="黑体" w:eastAsia="仿宋_GB2312"/>
          <w:b w:val="0"/>
          <w:bCs w:val="0"/>
        </w:rPr>
        <w:t>（二）项目绩效目标</w:t>
      </w:r>
    </w:p>
    <w:p>
      <w:pPr>
        <w:spacing w:line="360" w:lineRule="auto"/>
        <w:ind w:left="600"/>
        <w:rPr>
          <w:rFonts w:ascii="仿宋_GB2312" w:hAnsi="黑体"/>
        </w:rPr>
      </w:pPr>
      <w:r>
        <w:rPr>
          <w:rFonts w:hint="eastAsia" w:ascii="仿宋_GB2312" w:hAnsi="黑体"/>
        </w:rPr>
        <w:t>1.总体目标</w:t>
      </w:r>
    </w:p>
    <w:p>
      <w:pPr>
        <w:spacing w:line="360" w:lineRule="auto"/>
        <w:ind w:firstLine="600" w:firstLineChars="200"/>
        <w:rPr>
          <w:rFonts w:ascii="仿宋_GB2312" w:hAnsi="黑体"/>
        </w:rPr>
      </w:pPr>
      <w:r>
        <w:rPr>
          <w:rFonts w:hint="eastAsia" w:ascii="仿宋_GB2312" w:hAnsi="黑体"/>
        </w:rPr>
        <w:t>依据昌州财预【2021】76号木垒县老干部芦河松新疆曲子传承社木垒县老干部芦河松新疆曲子传承社，丰富群众业余生活，传承新疆曲子文化。</w:t>
      </w:r>
    </w:p>
    <w:p>
      <w:pPr>
        <w:spacing w:line="360" w:lineRule="auto"/>
        <w:ind w:firstLine="600" w:firstLineChars="200"/>
        <w:rPr>
          <w:rFonts w:ascii="仿宋_GB2312" w:hAnsi="黑体"/>
        </w:rPr>
      </w:pPr>
      <w:r>
        <w:rPr>
          <w:rFonts w:hint="eastAsia" w:ascii="仿宋_GB2312" w:hAnsi="黑体"/>
        </w:rPr>
        <w:t>2.阶段性目标</w:t>
      </w:r>
    </w:p>
    <w:p>
      <w:pPr>
        <w:spacing w:line="360" w:lineRule="auto"/>
        <w:ind w:firstLine="600" w:firstLineChars="200"/>
        <w:rPr>
          <w:rFonts w:ascii="仿宋_GB2312" w:hAnsi="黑体"/>
        </w:rPr>
      </w:pPr>
      <w:r>
        <w:rPr>
          <w:rFonts w:hint="eastAsia" w:ascii="仿宋_GB2312" w:hAnsi="黑体"/>
        </w:rPr>
        <w:t>2.1 2023年4月1日前完成对我单位进行资金申请报告。</w:t>
      </w:r>
    </w:p>
    <w:p>
      <w:pPr>
        <w:spacing w:line="360" w:lineRule="auto"/>
        <w:ind w:firstLine="600" w:firstLineChars="200"/>
        <w:rPr>
          <w:rFonts w:ascii="仿宋_GB2312" w:hAnsi="黑体"/>
        </w:rPr>
      </w:pPr>
      <w:r>
        <w:rPr>
          <w:rFonts w:hint="eastAsia" w:ascii="仿宋_GB2312" w:hAnsi="黑体"/>
        </w:rPr>
        <w:t>2.22023年6月1日前完成确定该项资金拨付至木垒县老干部芦河松新疆曲子传承社。</w:t>
      </w:r>
    </w:p>
    <w:p>
      <w:pPr>
        <w:spacing w:line="360" w:lineRule="auto"/>
        <w:ind w:firstLine="600" w:firstLineChars="200"/>
        <w:rPr>
          <w:rFonts w:ascii="仿宋_GB2312" w:hAnsi="黑体"/>
        </w:rPr>
      </w:pPr>
    </w:p>
    <w:p>
      <w:pPr>
        <w:pStyle w:val="2"/>
        <w:spacing w:line="360" w:lineRule="auto"/>
        <w:rPr>
          <w:rFonts w:ascii="仿宋_GB2312" w:hAnsi="黑体"/>
          <w:b w:val="0"/>
          <w:bCs w:val="0"/>
        </w:rPr>
      </w:pPr>
      <w:r>
        <w:rPr>
          <w:rFonts w:hint="eastAsia" w:ascii="仿宋_GB2312" w:hAnsi="黑体"/>
          <w:b w:val="0"/>
          <w:bCs w:val="0"/>
        </w:rPr>
        <w:t>二、绩效评价工作开展情况</w:t>
      </w:r>
    </w:p>
    <w:p>
      <w:pPr>
        <w:pStyle w:val="3"/>
        <w:spacing w:line="360" w:lineRule="auto"/>
        <w:rPr>
          <w:rFonts w:ascii="仿宋_GB2312" w:hAnsi="黑体" w:eastAsia="仿宋_GB2312"/>
          <w:b w:val="0"/>
          <w:bCs w:val="0"/>
        </w:rPr>
      </w:pPr>
      <w:r>
        <w:rPr>
          <w:rFonts w:hint="eastAsia" w:ascii="仿宋_GB2312" w:hAnsi="黑体" w:eastAsia="仿宋_GB2312"/>
          <w:b w:val="0"/>
          <w:bCs w:val="0"/>
        </w:rPr>
        <w:t>（一）绩效评价目的、对象和范围。</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1.绩效评价目的</w:t>
      </w:r>
    </w:p>
    <w:p>
      <w:pPr>
        <w:adjustRightInd w:val="0"/>
        <w:snapToGrid w:val="0"/>
        <w:spacing w:line="360" w:lineRule="auto"/>
        <w:ind w:firstLine="640" w:firstLineChars="200"/>
        <w:rPr>
          <w:rFonts w:ascii="仿宋_GB2312" w:hAnsi="黑体" w:cs="仿宋"/>
          <w:sz w:val="32"/>
          <w:szCs w:val="32"/>
        </w:rPr>
      </w:pPr>
      <w:r>
        <w:rPr>
          <w:rFonts w:hint="eastAsia" w:ascii="仿宋_GB2312" w:hAnsi="黑体" w:cs="仿宋"/>
          <w:sz w:val="32"/>
          <w:szCs w:val="32"/>
        </w:rPr>
        <w:t>通过对20</w:t>
      </w:r>
      <w:r>
        <w:rPr>
          <w:rFonts w:ascii="仿宋_GB2312" w:hAnsi="黑体" w:cs="仿宋"/>
          <w:sz w:val="32"/>
          <w:szCs w:val="32"/>
        </w:rPr>
        <w:t>2</w:t>
      </w:r>
      <w:r>
        <w:rPr>
          <w:rFonts w:hint="eastAsia" w:ascii="仿宋_GB2312" w:hAnsi="黑体" w:cs="仿宋"/>
          <w:sz w:val="32"/>
          <w:szCs w:val="32"/>
        </w:rPr>
        <w:t>3年度上级财政下拨的</w:t>
      </w:r>
      <w:r>
        <w:rPr>
          <w:rFonts w:hint="eastAsia" w:ascii="仿宋_GB2312" w:hAnsi="黑体"/>
        </w:rPr>
        <w:t>中共木垒哈萨克自治县委员会老干部局木垒县老干部芦河松新疆曲子传承社活动补助经费</w:t>
      </w:r>
      <w:r>
        <w:rPr>
          <w:rFonts w:hint="eastAsia" w:ascii="仿宋_GB2312" w:hAnsi="黑体" w:cs="仿宋"/>
          <w:sz w:val="32"/>
          <w:szCs w:val="32"/>
        </w:rPr>
        <w:t>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2.绩效评价对象</w:t>
      </w:r>
    </w:p>
    <w:p>
      <w:pPr>
        <w:adjustRightInd w:val="0"/>
        <w:snapToGrid w:val="0"/>
        <w:spacing w:line="360" w:lineRule="auto"/>
        <w:ind w:left="640"/>
        <w:rPr>
          <w:rFonts w:ascii="仿宋_GB2312" w:hAnsi="黑体" w:cs="仿宋"/>
          <w:sz w:val="32"/>
          <w:szCs w:val="32"/>
        </w:rPr>
      </w:pPr>
      <w:r>
        <w:rPr>
          <w:rFonts w:hint="eastAsia" w:ascii="仿宋_GB2312" w:hAnsi="黑体"/>
        </w:rPr>
        <w:t>中共木垒哈萨克自治县委员会老干部局木垒县老干部芦河松新疆曲子传承社活动补助经费项目</w:t>
      </w:r>
      <w:r>
        <w:rPr>
          <w:rFonts w:hint="eastAsia" w:ascii="仿宋_GB2312" w:hAnsi="黑体" w:cs="仿宋"/>
          <w:sz w:val="32"/>
          <w:szCs w:val="32"/>
        </w:rPr>
        <w:t>支出资金。</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3.绩效评价范围</w:t>
      </w:r>
    </w:p>
    <w:p>
      <w:pPr>
        <w:adjustRightInd w:val="0"/>
        <w:snapToGrid w:val="0"/>
        <w:spacing w:line="360" w:lineRule="auto"/>
        <w:ind w:firstLine="640" w:firstLineChars="200"/>
        <w:rPr>
          <w:rFonts w:ascii="仿宋_GB2312" w:hAnsi="黑体"/>
        </w:rPr>
      </w:pPr>
      <w:r>
        <w:rPr>
          <w:rFonts w:hint="eastAsia" w:ascii="仿宋_GB2312" w:hAnsi="黑体" w:cs="仿宋"/>
          <w:sz w:val="32"/>
          <w:szCs w:val="32"/>
        </w:rPr>
        <w:t>本次评价主要对</w:t>
      </w:r>
      <w:r>
        <w:rPr>
          <w:rFonts w:hint="eastAsia" w:ascii="仿宋_GB2312" w:hAnsi="黑体"/>
        </w:rPr>
        <w:t>中共木垒哈萨克自治县委员会老干部局木垒县老干部芦河松新疆曲子传承社活动补助经费项目</w:t>
      </w:r>
      <w:r>
        <w:rPr>
          <w:rFonts w:hint="eastAsia" w:ascii="仿宋_GB2312" w:hAnsi="黑体" w:cs="仿宋"/>
          <w:sz w:val="32"/>
          <w:szCs w:val="32"/>
        </w:rPr>
        <w:t>的工作完成情况、完成效果及公众满意度进行评价，</w:t>
      </w:r>
      <w:r>
        <w:rPr>
          <w:rFonts w:hint="eastAsia" w:ascii="仿宋_GB2312" w:hAnsi="黑体"/>
        </w:rPr>
        <w:t>具体从项目决策（包括绩效目标、决策过程）、项目过程（包括项目资金、项目实施）、项目产出（包括项目产出数量、产出质量、产出时效和产出成本）、项目效益四个维度来评价。</w:t>
      </w:r>
    </w:p>
    <w:p>
      <w:pPr>
        <w:pStyle w:val="3"/>
        <w:spacing w:line="360" w:lineRule="auto"/>
        <w:rPr>
          <w:rFonts w:ascii="仿宋_GB2312" w:hAnsi="黑体" w:eastAsia="仿宋_GB2312"/>
          <w:b w:val="0"/>
          <w:bCs w:val="0"/>
        </w:rPr>
      </w:pPr>
      <w:r>
        <w:rPr>
          <w:rFonts w:hint="eastAsia" w:ascii="仿宋_GB2312" w:hAnsi="黑体" w:eastAsia="仿宋_GB2312"/>
          <w:b w:val="0"/>
          <w:bCs w:val="0"/>
        </w:rPr>
        <w:t>（二）绩效评价原则、评价指标体系、评价方法、评价标准等</w:t>
      </w:r>
    </w:p>
    <w:p>
      <w:pPr>
        <w:spacing w:line="360" w:lineRule="auto"/>
        <w:ind w:firstLine="600" w:firstLineChars="200"/>
        <w:rPr>
          <w:rFonts w:ascii="仿宋_GB2312" w:hAnsi="黑体"/>
        </w:rPr>
      </w:pPr>
      <w:r>
        <w:rPr>
          <w:rFonts w:hint="eastAsia" w:ascii="仿宋_GB2312" w:hAnsi="黑体"/>
        </w:rPr>
        <w:t>1.绩效评价原则</w:t>
      </w:r>
    </w:p>
    <w:p>
      <w:pPr>
        <w:spacing w:line="360" w:lineRule="auto"/>
        <w:ind w:firstLine="600" w:firstLineChars="200"/>
        <w:rPr>
          <w:rFonts w:ascii="仿宋_GB2312" w:hAnsi="黑体"/>
          <w:bCs/>
        </w:rPr>
      </w:pPr>
      <w:r>
        <w:rPr>
          <w:rFonts w:hint="eastAsia" w:ascii="仿宋_GB2312" w:hAnsi="黑体"/>
          <w:bCs/>
        </w:rPr>
        <w:t>本次绩效评价严格按照《财政部关于印发&lt;项目支出绩效评价管理办法&gt;的通知》（财预【2020】10号）等文件要求，按照科学合理的方式，综合分析考核项目的绩效情况。</w:t>
      </w:r>
    </w:p>
    <w:p>
      <w:pPr>
        <w:spacing w:line="360" w:lineRule="auto"/>
        <w:ind w:firstLine="600" w:firstLineChars="200"/>
        <w:rPr>
          <w:rFonts w:ascii="仿宋_GB2312" w:hAnsi="黑体"/>
        </w:rPr>
      </w:pPr>
    </w:p>
    <w:p>
      <w:pPr>
        <w:spacing w:line="360" w:lineRule="auto"/>
        <w:ind w:firstLine="600" w:firstLineChars="200"/>
        <w:rPr>
          <w:rFonts w:ascii="仿宋_GB2312" w:hAnsi="黑体"/>
        </w:rPr>
      </w:pPr>
      <w:r>
        <w:rPr>
          <w:rFonts w:hint="eastAsia" w:ascii="仿宋_GB2312" w:hAnsi="黑体"/>
        </w:rPr>
        <w:t>（1）科学规范原则。坚持严格执行规定的程序，按照科学可行的要求，采用定量与定性分析相结合的方法。</w:t>
      </w:r>
    </w:p>
    <w:p>
      <w:pPr>
        <w:spacing w:line="360" w:lineRule="auto"/>
        <w:ind w:firstLine="600" w:firstLineChars="200"/>
        <w:rPr>
          <w:rFonts w:ascii="仿宋_GB2312" w:hAnsi="黑体"/>
        </w:rPr>
      </w:pPr>
      <w:r>
        <w:rPr>
          <w:rFonts w:hint="eastAsia" w:ascii="仿宋_GB2312" w:hAnsi="黑体"/>
        </w:rPr>
        <w:t>（2）公正公开原则。坚持符合真实、客观、公正的要求，依法公开并接受监督。</w:t>
      </w:r>
    </w:p>
    <w:p>
      <w:pPr>
        <w:spacing w:line="360" w:lineRule="auto"/>
        <w:ind w:left="600" w:leftChars="200"/>
        <w:rPr>
          <w:rFonts w:ascii="仿宋_GB2312" w:hAnsi="黑体"/>
        </w:rPr>
      </w:pPr>
      <w:r>
        <w:rPr>
          <w:rFonts w:hint="eastAsia" w:ascii="仿宋_GB2312" w:hAnsi="黑体"/>
        </w:rPr>
        <w:t>（3）分级分类原则。坚持根据评价对象的特点分类组织实施。</w:t>
      </w:r>
    </w:p>
    <w:p>
      <w:pPr>
        <w:spacing w:line="360" w:lineRule="auto"/>
        <w:ind w:firstLine="600" w:firstLineChars="200"/>
        <w:rPr>
          <w:rFonts w:ascii="仿宋_GB2312" w:hAnsi="黑体"/>
        </w:rPr>
      </w:pPr>
      <w:r>
        <w:rPr>
          <w:rFonts w:hint="eastAsia" w:ascii="仿宋_GB2312" w:hAnsi="黑体"/>
        </w:rPr>
        <w:t>（4）绩效相关原则。应当针对具体支出及其产出绩效进行，评价结果应当清晰反映支出和产出绩效之间的紧密对应关系。</w:t>
      </w:r>
    </w:p>
    <w:p>
      <w:pPr>
        <w:spacing w:line="360" w:lineRule="auto"/>
        <w:ind w:left="600" w:leftChars="200"/>
        <w:rPr>
          <w:rFonts w:ascii="仿宋_GB2312" w:hAnsi="黑体"/>
        </w:rPr>
      </w:pPr>
      <w:r>
        <w:rPr>
          <w:rFonts w:hint="eastAsia" w:ascii="仿宋_GB2312" w:hAnsi="黑体"/>
        </w:rPr>
        <w:t>2.评价指标体系</w:t>
      </w:r>
    </w:p>
    <w:p>
      <w:pPr>
        <w:pStyle w:val="14"/>
        <w:spacing w:line="360" w:lineRule="auto"/>
        <w:ind w:left="360" w:firstLine="600"/>
        <w:rPr>
          <w:rFonts w:ascii="仿宋_GB2312" w:hAnsi="黑体"/>
        </w:rPr>
      </w:pPr>
      <w:r>
        <w:rPr>
          <w:rFonts w:hint="eastAsia" w:ascii="仿宋_GB2312" w:hAnsi="黑体"/>
        </w:rPr>
        <w:t>根据项目特征及具体情况，</w:t>
      </w:r>
      <w:r>
        <w:rPr>
          <w:rFonts w:hint="eastAsia" w:ascii="仿宋_GB2312" w:hAnsi="黑体"/>
          <w:bCs/>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黑体"/>
        </w:rPr>
        <w:t>并以此设定各项指标的分值分配：决策、过程、产出、效果。本次绩效评价实行百分制，即各项指标值之和为100分，项目采用综合评分法进行绩效评价。见附表1。</w:t>
      </w:r>
    </w:p>
    <w:p>
      <w:pPr>
        <w:spacing w:line="360" w:lineRule="auto"/>
        <w:ind w:firstLine="600" w:firstLineChars="200"/>
        <w:rPr>
          <w:rFonts w:ascii="仿宋_GB2312" w:hAnsi="黑体"/>
        </w:rPr>
      </w:pPr>
      <w:r>
        <w:rPr>
          <w:rFonts w:hint="eastAsia" w:ascii="仿宋_GB2312" w:hAnsi="黑体"/>
        </w:rPr>
        <w:t>3.评价方法</w:t>
      </w:r>
    </w:p>
    <w:p>
      <w:pPr>
        <w:spacing w:line="360" w:lineRule="auto"/>
        <w:ind w:firstLine="600" w:firstLineChars="200"/>
        <w:rPr>
          <w:rFonts w:ascii="仿宋_GB2312" w:hAnsi="黑体"/>
        </w:rPr>
      </w:pPr>
      <w:r>
        <w:rPr>
          <w:rFonts w:hint="eastAsia" w:ascii="仿宋_GB2312" w:hAnsi="黑体"/>
        </w:rPr>
        <w:t>本项目主要采用全面评价和重点评价相结合、现场评价和非现场评价相结合的方式，运用综合评分法进行评价。</w:t>
      </w:r>
    </w:p>
    <w:p>
      <w:pPr>
        <w:spacing w:line="360" w:lineRule="auto"/>
        <w:ind w:firstLine="600" w:firstLineChars="200"/>
        <w:rPr>
          <w:rFonts w:ascii="仿宋_GB2312" w:hAnsi="黑体"/>
        </w:rPr>
      </w:pPr>
      <w:r>
        <w:rPr>
          <w:rFonts w:ascii="仿宋_GB2312" w:hAnsi="黑体"/>
        </w:rPr>
        <w:t>4.</w:t>
      </w:r>
      <w:r>
        <w:rPr>
          <w:rFonts w:hint="eastAsia" w:ascii="仿宋_GB2312" w:hAnsi="黑体"/>
        </w:rPr>
        <w:t>评价标准</w:t>
      </w:r>
    </w:p>
    <w:p>
      <w:pPr>
        <w:spacing w:line="360" w:lineRule="auto"/>
        <w:ind w:firstLine="600" w:firstLineChars="200"/>
        <w:rPr>
          <w:rFonts w:ascii="仿宋_GB2312" w:hAnsi="黑体"/>
        </w:rPr>
      </w:pPr>
      <w:r>
        <w:rPr>
          <w:rFonts w:hint="eastAsia" w:ascii="仿宋_GB2312" w:hAnsi="黑体"/>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pPr>
        <w:spacing w:line="360" w:lineRule="auto"/>
        <w:ind w:firstLine="600" w:firstLineChars="200"/>
        <w:rPr>
          <w:rFonts w:ascii="仿宋_GB2312" w:hAnsi="黑体"/>
        </w:rPr>
      </w:pPr>
      <w:r>
        <w:rPr>
          <w:rFonts w:hint="eastAsia" w:ascii="仿宋_GB2312" w:hAnsi="黑体"/>
        </w:rPr>
        <w:t>财政支出绩效评价指标包括两大类，一类是定量指标，一类是定性指标。本次绩效评价采用“定量的指标体系的打分评价”+“定性的调查信息的归纳和提炼”，两种方式互相补充以构成对本次项目的完整评价。</w:t>
      </w:r>
    </w:p>
    <w:p>
      <w:pPr>
        <w:spacing w:line="360" w:lineRule="auto"/>
        <w:ind w:firstLine="600" w:firstLineChars="200"/>
        <w:rPr>
          <w:rFonts w:ascii="仿宋_GB2312" w:hAnsi="黑体"/>
        </w:rPr>
      </w:pPr>
      <w:r>
        <w:rPr>
          <w:rFonts w:hint="eastAsia" w:ascii="仿宋_GB2312" w:hAnsi="黑体"/>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pStyle w:val="3"/>
        <w:spacing w:line="360" w:lineRule="auto"/>
        <w:rPr>
          <w:rFonts w:ascii="仿宋_GB2312" w:hAnsi="黑体" w:eastAsia="仿宋_GB2312"/>
          <w:b w:val="0"/>
          <w:bCs w:val="0"/>
        </w:rPr>
      </w:pPr>
      <w:r>
        <w:rPr>
          <w:rFonts w:hint="eastAsia" w:ascii="仿宋_GB2312" w:hAnsi="黑体" w:eastAsia="仿宋_GB2312"/>
          <w:b w:val="0"/>
          <w:bCs w:val="0"/>
        </w:rPr>
        <w:t>（三）绩效评价工作过程</w:t>
      </w:r>
    </w:p>
    <w:p>
      <w:pPr>
        <w:spacing w:line="360" w:lineRule="auto"/>
        <w:ind w:firstLine="600" w:firstLineChars="200"/>
        <w:rPr>
          <w:rFonts w:ascii="仿宋_GB2312" w:hAnsi="黑体"/>
        </w:rPr>
      </w:pPr>
      <w:r>
        <w:rPr>
          <w:rFonts w:hint="eastAsia" w:ascii="仿宋_GB2312" w:hAnsi="黑体"/>
        </w:rPr>
        <w:t>1.前期准备</w:t>
      </w:r>
    </w:p>
    <w:p>
      <w:pPr>
        <w:spacing w:line="360" w:lineRule="auto"/>
        <w:ind w:firstLine="560" w:firstLineChars="200"/>
        <w:rPr>
          <w:rFonts w:ascii="宋体" w:hAnsi="宋体" w:eastAsia="宋体" w:cs="宋体"/>
          <w:sz w:val="28"/>
          <w:szCs w:val="28"/>
          <w:lang w:val="zh-CN"/>
        </w:rPr>
      </w:pPr>
      <w:r>
        <w:rPr>
          <w:rFonts w:ascii="宋体" w:hAnsi="宋体" w:eastAsia="宋体" w:cs="宋体"/>
          <w:sz w:val="28"/>
          <w:szCs w:val="28"/>
        </w:rPr>
        <w:t xml:space="preserve">1.1 </w:t>
      </w:r>
      <w:r>
        <w:rPr>
          <w:rFonts w:hint="eastAsia" w:ascii="宋体" w:hAnsi="宋体" w:eastAsia="宋体" w:cs="宋体"/>
          <w:sz w:val="28"/>
          <w:szCs w:val="28"/>
        </w:rPr>
        <w:t>2024年1月1日</w:t>
      </w:r>
      <w:r>
        <w:rPr>
          <w:rFonts w:hint="eastAsia" w:ascii="宋体" w:hAnsi="宋体" w:eastAsia="宋体" w:cs="宋体"/>
          <w:sz w:val="28"/>
          <w:szCs w:val="28"/>
          <w:lang w:val="zh-CN"/>
        </w:rPr>
        <w:t>，</w:t>
      </w:r>
      <w:r>
        <w:rPr>
          <w:rFonts w:hint="eastAsia" w:ascii="仿宋_GB2312" w:hAnsi="黑体"/>
        </w:rPr>
        <w:t>我单位在收到自评工作任务后及时组织了绩效评价工作小组，其中火育良为组长，主要负责工作安排，王欢为副组长，主要负责报告的审核、指导，刘艳组员负责资料、数据整理，编制报告。小组制定了项目评价的工作思路及工作安排，参考学习了相关政策制度、实施方案和相关的工作文件，为评价工作的开展提供工作指引。</w:t>
      </w:r>
    </w:p>
    <w:p>
      <w:pPr>
        <w:pStyle w:val="14"/>
        <w:numPr>
          <w:ilvl w:val="1"/>
          <w:numId w:val="1"/>
        </w:numPr>
        <w:spacing w:line="360" w:lineRule="auto"/>
        <w:ind w:firstLineChars="0"/>
        <w:rPr>
          <w:rFonts w:ascii="仿宋_GB2312" w:hAnsi="黑体"/>
        </w:rPr>
      </w:pPr>
      <w:r>
        <w:rPr>
          <w:rFonts w:hint="eastAsia" w:ascii="仿宋_GB2312" w:hAnsi="黑体"/>
        </w:rPr>
        <w:t>2024年1月17日，</w:t>
      </w:r>
      <w:r>
        <w:rPr>
          <w:rFonts w:hint="eastAsia" w:ascii="仿宋_GB2312" w:hAnsi="黑体"/>
          <w:lang w:val="zh-CN"/>
        </w:rPr>
        <w:t>评价组通过前期调研</w:t>
      </w:r>
      <w:r>
        <w:rPr>
          <w:rFonts w:hint="eastAsia" w:ascii="仿宋_GB2312" w:hAnsi="黑体"/>
        </w:rPr>
        <w:t>确定绩效评价对象和范围，</w:t>
      </w:r>
      <w:r>
        <w:rPr>
          <w:rFonts w:hint="eastAsia" w:ascii="仿宋_GB2312" w:hAnsi="黑体"/>
          <w:lang w:val="zh-CN"/>
        </w:rPr>
        <w:t>确定了评价的目的、方法以及评价的原则；</w:t>
      </w:r>
    </w:p>
    <w:p>
      <w:pPr>
        <w:pStyle w:val="14"/>
        <w:numPr>
          <w:ilvl w:val="1"/>
          <w:numId w:val="1"/>
        </w:numPr>
        <w:spacing w:line="360" w:lineRule="auto"/>
        <w:ind w:firstLineChars="0"/>
        <w:rPr>
          <w:rFonts w:ascii="仿宋_GB2312" w:hAnsi="黑体"/>
        </w:rPr>
      </w:pPr>
      <w:r>
        <w:rPr>
          <w:rFonts w:hint="eastAsia" w:ascii="仿宋_GB2312" w:hAnsi="黑体"/>
        </w:rPr>
        <w:t xml:space="preserve"> 2024年1月20日，</w:t>
      </w:r>
      <w:r>
        <w:rPr>
          <w:rFonts w:hint="eastAsia" w:ascii="仿宋_GB2312" w:hAnsi="黑体"/>
          <w:lang w:val="zh-CN"/>
        </w:rPr>
        <w:t>根据项目的</w:t>
      </w:r>
      <w:r>
        <w:rPr>
          <w:rFonts w:hint="eastAsia" w:ascii="仿宋_GB2312" w:hAnsi="黑体"/>
        </w:rPr>
        <w:t>实施</w:t>
      </w:r>
      <w:r>
        <w:rPr>
          <w:rFonts w:hint="eastAsia" w:ascii="仿宋_GB2312" w:hAnsi="黑体"/>
          <w:lang w:val="zh-CN"/>
        </w:rPr>
        <w:t>内容和特征制定了评价指标体系及评价标准以及评价实施方案，修正并确定所需资料清单，最终确定</w:t>
      </w:r>
      <w:r>
        <w:rPr>
          <w:rFonts w:hint="eastAsia" w:ascii="仿宋_GB2312" w:hAnsi="黑体"/>
        </w:rPr>
        <w:t>绩效评价工作方案；</w:t>
      </w:r>
    </w:p>
    <w:p>
      <w:pPr>
        <w:spacing w:line="360" w:lineRule="auto"/>
        <w:rPr>
          <w:rFonts w:ascii="仿宋_GB2312" w:hAnsi="黑体"/>
        </w:rPr>
      </w:pPr>
      <w:r>
        <w:rPr>
          <w:rFonts w:hint="eastAsia" w:ascii="仿宋_GB2312" w:hAnsi="黑体"/>
        </w:rPr>
        <w:t>2.组织实施</w:t>
      </w:r>
    </w:p>
    <w:p>
      <w:pPr>
        <w:spacing w:line="360" w:lineRule="auto"/>
        <w:rPr>
          <w:rFonts w:ascii="仿宋_GB2312" w:hAnsi="黑体"/>
        </w:rPr>
      </w:pPr>
      <w:r>
        <w:rPr>
          <w:rFonts w:hint="eastAsia" w:ascii="仿宋_GB2312" w:hAnsi="黑体"/>
        </w:rPr>
        <w:t>2024年3月1日- 3月31日，评价工作进入实施阶段：</w:t>
      </w:r>
    </w:p>
    <w:p>
      <w:pPr>
        <w:spacing w:line="360" w:lineRule="auto"/>
        <w:rPr>
          <w:rFonts w:ascii="仿宋_GB2312" w:hAnsi="黑体"/>
        </w:rPr>
      </w:pPr>
      <w:r>
        <w:rPr>
          <w:rFonts w:hint="eastAsia" w:ascii="仿宋_GB2312" w:hAnsi="黑体"/>
        </w:rPr>
        <w:t>2.1  评价组收集绩效评价相关数据资料，进行现场调研、座谈；</w:t>
      </w:r>
    </w:p>
    <w:p>
      <w:pPr>
        <w:spacing w:line="360" w:lineRule="auto"/>
        <w:rPr>
          <w:rFonts w:ascii="仿宋_GB2312" w:hAnsi="黑体"/>
        </w:rPr>
      </w:pPr>
      <w:r>
        <w:rPr>
          <w:rFonts w:hint="eastAsia" w:ascii="仿宋_GB2312" w:hAnsi="黑体"/>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pPr>
        <w:spacing w:line="360" w:lineRule="auto"/>
        <w:rPr>
          <w:rFonts w:ascii="仿宋_GB2312" w:hAnsi="黑体"/>
        </w:rPr>
      </w:pPr>
    </w:p>
    <w:p>
      <w:pPr>
        <w:spacing w:line="360" w:lineRule="auto"/>
        <w:rPr>
          <w:rFonts w:ascii="仿宋_GB2312" w:hAnsi="黑体"/>
        </w:rPr>
      </w:pPr>
      <w:r>
        <w:rPr>
          <w:rFonts w:ascii="仿宋_GB2312" w:hAnsi="黑体"/>
        </w:rPr>
        <w:t>3.</w:t>
      </w:r>
      <w:r>
        <w:rPr>
          <w:rFonts w:hint="eastAsia" w:ascii="仿宋_GB2312" w:hAnsi="黑体"/>
        </w:rPr>
        <w:t>分析评价：</w:t>
      </w:r>
    </w:p>
    <w:p>
      <w:pPr>
        <w:spacing w:line="360" w:lineRule="auto"/>
        <w:ind w:firstLine="600" w:firstLineChars="200"/>
        <w:rPr>
          <w:rFonts w:ascii="仿宋_GB2312" w:hAnsi="黑体"/>
        </w:rPr>
      </w:pPr>
      <w:r>
        <w:rPr>
          <w:rFonts w:hint="eastAsia" w:ascii="仿宋_GB2312" w:hAnsi="黑体"/>
        </w:rPr>
        <w:t>2024年3月1日- 3月31日，评价组按照绩效评价的原则和规范，对取得的资料进行审查核实，对采集的数据进行分析，按照绩效评价指标评分表逐项进行打分、分析，汇总各方评价结果，综合分析并形成评价结论。</w:t>
      </w:r>
    </w:p>
    <w:p>
      <w:pPr>
        <w:spacing w:line="360" w:lineRule="auto"/>
        <w:ind w:firstLine="600" w:firstLineChars="200"/>
        <w:rPr>
          <w:rFonts w:ascii="仿宋_GB2312" w:hAnsi="黑体"/>
        </w:rPr>
      </w:pPr>
      <w:r>
        <w:rPr>
          <w:rFonts w:ascii="仿宋_GB2312" w:hAnsi="黑体"/>
        </w:rPr>
        <w:t>4</w:t>
      </w:r>
      <w:r>
        <w:rPr>
          <w:rFonts w:hint="eastAsia" w:ascii="仿宋_GB2312" w:hAnsi="黑体"/>
        </w:rPr>
        <w:t>.撰写报告</w:t>
      </w:r>
    </w:p>
    <w:p>
      <w:pPr>
        <w:spacing w:line="360" w:lineRule="auto"/>
        <w:ind w:firstLine="600" w:firstLineChars="200"/>
        <w:rPr>
          <w:rFonts w:ascii="仿宋_GB2312" w:hAnsi="黑体"/>
        </w:rPr>
      </w:pPr>
      <w:r>
        <w:rPr>
          <w:rFonts w:hint="eastAsia" w:ascii="仿宋_GB2312" w:hAnsi="黑体"/>
        </w:rPr>
        <w:t>评价小组根据对项目的资料、实施情况进行核实分析后，围绕评价体系对项目支出绩效进行了评价打分，并撰写了绩效评价报告，报告编制完成后上报至单位领导处进行定稿，最终将定稿报告上报至木垒县财政局。</w:t>
      </w:r>
    </w:p>
    <w:p>
      <w:pPr>
        <w:spacing w:line="360" w:lineRule="auto"/>
        <w:ind w:left="640"/>
        <w:rPr>
          <w:rFonts w:ascii="仿宋_GB2312" w:hAnsi="黑体"/>
        </w:rPr>
      </w:pPr>
      <w:r>
        <w:rPr>
          <w:rFonts w:ascii="仿宋_GB2312" w:hAnsi="黑体"/>
        </w:rPr>
        <w:t>5</w:t>
      </w:r>
      <w:r>
        <w:rPr>
          <w:rFonts w:hint="eastAsia" w:ascii="仿宋_GB2312" w:hAnsi="黑体"/>
        </w:rPr>
        <w:t>.资料归档</w:t>
      </w:r>
    </w:p>
    <w:p>
      <w:pPr>
        <w:spacing w:line="360" w:lineRule="auto"/>
        <w:ind w:firstLine="600" w:firstLineChars="200"/>
        <w:rPr>
          <w:rFonts w:ascii="仿宋_GB2312" w:hAnsi="黑体"/>
        </w:rPr>
      </w:pPr>
      <w:r>
        <w:rPr>
          <w:rFonts w:hint="eastAsia" w:ascii="仿宋_GB2312" w:hAnsi="黑体"/>
        </w:rPr>
        <w:t>评价小组对已完成的评价项目资料进行整理、封装，完善绩效评价工作底稿，并将资料整理成册后交档案室统一归档保存，以备后期查阅。</w:t>
      </w:r>
    </w:p>
    <w:p>
      <w:pPr>
        <w:pStyle w:val="2"/>
        <w:spacing w:line="360" w:lineRule="auto"/>
        <w:rPr>
          <w:rFonts w:ascii="仿宋_GB2312" w:hAnsi="黑体"/>
          <w:b w:val="0"/>
          <w:bCs w:val="0"/>
        </w:rPr>
      </w:pPr>
      <w:r>
        <w:rPr>
          <w:rFonts w:hint="eastAsia" w:ascii="仿宋_GB2312" w:hAnsi="黑体"/>
          <w:b w:val="0"/>
          <w:bCs w:val="0"/>
        </w:rPr>
        <w:t>三、综合评价情况及评价结论</w:t>
      </w:r>
    </w:p>
    <w:p>
      <w:r>
        <w:rPr>
          <w:rFonts w:hint="eastAsia"/>
        </w:rPr>
        <w:t>（一）综合评价情况及评价结论</w:t>
      </w:r>
    </w:p>
    <w:p>
      <w:pPr>
        <w:spacing w:line="360" w:lineRule="auto"/>
        <w:ind w:firstLine="600" w:firstLineChars="200"/>
        <w:rPr>
          <w:rFonts w:ascii="仿宋_GB2312" w:hAnsi="黑体"/>
        </w:rPr>
      </w:pPr>
      <w:r>
        <w:rPr>
          <w:rFonts w:hint="eastAsia" w:ascii="仿宋_GB2312" w:hAnsi="黑体"/>
        </w:rPr>
        <w:t>中共木垒哈萨克自治县委员会老干部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pPr>
        <w:spacing w:line="360" w:lineRule="auto"/>
        <w:ind w:firstLine="600" w:firstLineChars="200"/>
        <w:rPr>
          <w:rFonts w:ascii="仿宋_GB2312" w:hAnsi="黑体"/>
        </w:rPr>
      </w:pPr>
      <w:r>
        <w:rPr>
          <w:rFonts w:hint="eastAsia" w:ascii="仿宋_GB2312" w:hAnsi="黑体"/>
        </w:rPr>
        <w:t>本项目通过制定的评价指标体系及评分标准，运用数据采集、问卷调查及访谈等方式，对本项目绩效进行客观评价，最终评分结果：总分为91分。</w:t>
      </w:r>
    </w:p>
    <w:p>
      <w:pPr>
        <w:spacing w:line="360" w:lineRule="auto"/>
        <w:ind w:firstLine="600" w:firstLineChars="200"/>
        <w:rPr>
          <w:rFonts w:ascii="仿宋_GB2312" w:hAnsi="黑体"/>
        </w:rPr>
      </w:pPr>
      <w:r>
        <w:rPr>
          <w:rFonts w:hint="eastAsia" w:ascii="仿宋_GB2312" w:hAnsi="黑体"/>
        </w:rPr>
        <w:t>（二）相关评分表</w:t>
      </w:r>
    </w:p>
    <w:p>
      <w:pPr>
        <w:spacing w:line="360" w:lineRule="auto"/>
        <w:ind w:firstLine="600" w:firstLineChars="200"/>
        <w:rPr>
          <w:rFonts w:ascii="仿宋_GB2312" w:hAnsi="黑体"/>
        </w:rPr>
      </w:pPr>
      <w:r>
        <w:rPr>
          <w:rFonts w:hint="eastAsia" w:ascii="仿宋_GB2312" w:hAnsi="黑体"/>
        </w:rPr>
        <w:t>各部分权重和绩效分值如下表所示：</w:t>
      </w:r>
      <w:bookmarkStart w:id="0" w:name="page24"/>
      <w:bookmarkEnd w:id="0"/>
      <w:r>
        <w:rPr>
          <w:rFonts w:hint="eastAsia" w:ascii="仿宋_GB2312" w:hAnsi="黑体"/>
        </w:rPr>
        <w:t>（详细评分表见附表）</w:t>
      </w:r>
    </w:p>
    <w:tbl>
      <w:tblPr>
        <w:tblStyle w:val="9"/>
        <w:tblW w:w="10820" w:type="dxa"/>
        <w:jc w:val="center"/>
        <w:tblInd w:w="0" w:type="dxa"/>
        <w:tblLayout w:type="fixed"/>
        <w:tblCellMar>
          <w:top w:w="0" w:type="dxa"/>
          <w:left w:w="0" w:type="dxa"/>
          <w:bottom w:w="0" w:type="dxa"/>
          <w:right w:w="0" w:type="dxa"/>
        </w:tblCellMar>
      </w:tblPr>
      <w:tblGrid>
        <w:gridCol w:w="1180"/>
        <w:gridCol w:w="2100"/>
        <w:gridCol w:w="2140"/>
        <w:gridCol w:w="2160"/>
        <w:gridCol w:w="1620"/>
        <w:gridCol w:w="1620"/>
      </w:tblGrid>
      <w:tr>
        <w:tblPrEx>
          <w:tblLayout w:type="fixed"/>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rPr>
            </w:pPr>
            <w:r>
              <w:rPr>
                <w:rFonts w:hint="eastAsia" w:ascii="仿宋_GB2312" w:hAnsi="黑体"/>
                <w:sz w:val="24"/>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rPr>
            </w:pPr>
            <w:r>
              <w:rPr>
                <w:rFonts w:hint="eastAsia" w:ascii="仿宋_GB2312" w:hAnsi="黑体"/>
                <w:sz w:val="24"/>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rPr>
            </w:pPr>
            <w:r>
              <w:rPr>
                <w:rFonts w:hint="eastAsia" w:ascii="仿宋_GB2312" w:hAnsi="黑体"/>
                <w:sz w:val="24"/>
              </w:rPr>
              <w:t>项目产出</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ascii="仿宋_GB2312" w:hAnsi="黑体"/>
                <w:sz w:val="24"/>
              </w:rPr>
            </w:pPr>
            <w:r>
              <w:rPr>
                <w:rFonts w:hint="eastAsia" w:ascii="仿宋_GB2312" w:hAnsi="黑体"/>
                <w:sz w:val="24"/>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合计分值</w:t>
            </w:r>
          </w:p>
        </w:tc>
      </w:tr>
      <w:tr>
        <w:tblPrEx>
          <w:tblLayout w:type="fixed"/>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ascii="仿宋_GB2312" w:hAnsi="黑体"/>
                <w:sz w:val="24"/>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rPr>
            </w:pPr>
            <w:r>
              <w:rPr>
                <w:rFonts w:ascii="仿宋_GB2312" w:hAnsi="黑体"/>
                <w:sz w:val="24"/>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rPr>
            </w:pPr>
            <w:r>
              <w:rPr>
                <w:rFonts w:hint="eastAsia" w:ascii="仿宋_GB2312" w:hAnsi="黑体"/>
                <w:sz w:val="24"/>
              </w:rPr>
              <w:t>100</w:t>
            </w:r>
          </w:p>
        </w:tc>
      </w:tr>
      <w:tr>
        <w:tblPrEx>
          <w:tblLayout w:type="fixed"/>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hint="eastAsia"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hint="eastAsia"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hint="eastAsia" w:ascii="仿宋_GB2312" w:hAnsi="黑体"/>
                <w:sz w:val="24"/>
              </w:rPr>
              <w:t>43</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rPr>
            </w:pPr>
            <w:r>
              <w:rPr>
                <w:rFonts w:hint="eastAsia" w:ascii="仿宋_GB2312" w:hAnsi="黑体"/>
                <w:sz w:val="24"/>
              </w:rPr>
              <w:t>18</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rPr>
            </w:pPr>
            <w:r>
              <w:rPr>
                <w:rFonts w:hint="eastAsia" w:ascii="仿宋_GB2312" w:hAnsi="黑体"/>
                <w:sz w:val="24"/>
              </w:rPr>
              <w:t>91</w:t>
            </w:r>
          </w:p>
        </w:tc>
      </w:tr>
    </w:tbl>
    <w:p>
      <w:pPr>
        <w:pStyle w:val="2"/>
        <w:spacing w:line="360" w:lineRule="auto"/>
        <w:rPr>
          <w:rFonts w:ascii="仿宋_GB2312" w:hAnsi="黑体"/>
          <w:b w:val="0"/>
          <w:bCs w:val="0"/>
        </w:rPr>
      </w:pPr>
      <w:r>
        <w:rPr>
          <w:rFonts w:hint="eastAsia" w:ascii="仿宋_GB2312" w:hAnsi="黑体"/>
          <w:b w:val="0"/>
          <w:bCs w:val="0"/>
        </w:rPr>
        <w:t>四、绩效评价指标分析</w:t>
      </w:r>
    </w:p>
    <w:p>
      <w:pPr>
        <w:spacing w:line="360" w:lineRule="auto"/>
        <w:ind w:firstLine="643" w:firstLineChars="200"/>
        <w:rPr>
          <w:rFonts w:ascii="仿宋_GB2312" w:hAnsi="黑体"/>
        </w:rPr>
      </w:pPr>
      <w:r>
        <w:rPr>
          <w:rStyle w:val="16"/>
          <w:rFonts w:hint="eastAsia" w:ascii="仿宋_GB2312" w:hAnsi="黑体" w:eastAsia="仿宋_GB2312"/>
        </w:rPr>
        <w:t>（一）项目决策情况</w:t>
      </w:r>
    </w:p>
    <w:p>
      <w:pPr>
        <w:spacing w:line="360" w:lineRule="auto"/>
        <w:ind w:firstLine="600" w:firstLineChars="200"/>
        <w:rPr>
          <w:rFonts w:ascii="仿宋_GB2312" w:hAnsi="黑体"/>
        </w:rPr>
      </w:pPr>
      <w:r>
        <w:rPr>
          <w:rFonts w:hint="eastAsia" w:ascii="仿宋_GB2312" w:hAnsi="黑体"/>
        </w:rPr>
        <w:t>1.立项依据充分性</w:t>
      </w:r>
    </w:p>
    <w:p>
      <w:pPr>
        <w:spacing w:line="360" w:lineRule="auto"/>
        <w:ind w:left="600"/>
        <w:rPr>
          <w:rFonts w:ascii="仿宋_GB2312" w:hAnsi="黑体"/>
        </w:rPr>
      </w:pPr>
      <w:r>
        <w:rPr>
          <w:rFonts w:hint="eastAsia" w:ascii="仿宋_GB2312" w:hAnsi="黑体"/>
        </w:rPr>
        <w:t>（1）昌州财预【2021】76号文件。</w:t>
      </w:r>
    </w:p>
    <w:p>
      <w:pPr>
        <w:spacing w:line="360" w:lineRule="auto"/>
        <w:ind w:firstLine="600" w:firstLineChars="200"/>
        <w:rPr>
          <w:rFonts w:ascii="仿宋_GB2312" w:hAnsi="黑体"/>
        </w:rPr>
      </w:pPr>
      <w:r>
        <w:rPr>
          <w:rFonts w:hint="eastAsia" w:ascii="仿宋_GB2312" w:hAnsi="黑体"/>
        </w:rPr>
        <w:t>2.立项程序规范性</w:t>
      </w:r>
    </w:p>
    <w:p>
      <w:pPr>
        <w:spacing w:line="360" w:lineRule="auto"/>
        <w:ind w:firstLine="600" w:firstLineChars="200"/>
        <w:rPr>
          <w:rFonts w:ascii="仿宋_GB2312" w:hAnsi="黑体"/>
        </w:rPr>
      </w:pPr>
      <w:r>
        <w:rPr>
          <w:rFonts w:hint="eastAsia" w:ascii="仿宋_GB2312" w:hAnsi="黑体"/>
        </w:rPr>
        <w:t>①项目立项程序：提报项目建议书、申请立项过程等均按照立项程序的相关规定进行；</w:t>
      </w:r>
    </w:p>
    <w:p>
      <w:pPr>
        <w:spacing w:line="360" w:lineRule="auto"/>
        <w:ind w:firstLine="600" w:firstLineChars="200"/>
        <w:rPr>
          <w:rFonts w:ascii="仿宋_GB2312" w:hAnsi="黑体"/>
        </w:rPr>
      </w:pPr>
      <w:r>
        <w:rPr>
          <w:rFonts w:hint="eastAsia" w:ascii="仿宋_GB2312" w:hAnsi="黑体"/>
        </w:rPr>
        <w:t>②审批文件、材料：本项目审批文件有：《昌州财预【2021】76号》、审批文件及材料齐全；</w:t>
      </w:r>
    </w:p>
    <w:p>
      <w:pPr>
        <w:spacing w:line="360" w:lineRule="auto"/>
        <w:ind w:firstLine="600" w:firstLineChars="200"/>
        <w:rPr>
          <w:rFonts w:ascii="仿宋_GB2312" w:hAnsi="黑体"/>
        </w:rPr>
      </w:pPr>
      <w:r>
        <w:rPr>
          <w:rFonts w:hint="eastAsia" w:ascii="仿宋_GB2312" w:hAnsi="黑体"/>
        </w:rPr>
        <w:t>③项目事前工作：本项目已经过必要的可行性研究、专家论证、风险评估、绩效评估、集体决策。</w:t>
      </w:r>
    </w:p>
    <w:p>
      <w:pPr>
        <w:spacing w:line="360" w:lineRule="auto"/>
        <w:ind w:firstLine="600" w:firstLineChars="200"/>
        <w:rPr>
          <w:rFonts w:ascii="仿宋_GB2312" w:hAnsi="黑体"/>
        </w:rPr>
      </w:pPr>
      <w:r>
        <w:rPr>
          <w:rFonts w:hint="eastAsia" w:ascii="仿宋_GB2312" w:hAnsi="黑体"/>
        </w:rPr>
        <w:t>3.绩效目标合理性</w:t>
      </w:r>
    </w:p>
    <w:p>
      <w:pPr>
        <w:spacing w:line="360" w:lineRule="auto"/>
        <w:ind w:firstLine="600" w:firstLineChars="200"/>
        <w:rPr>
          <w:rFonts w:ascii="仿宋_GB2312" w:hAnsi="黑体"/>
        </w:rPr>
      </w:pPr>
      <w:r>
        <w:rPr>
          <w:rFonts w:hint="eastAsia" w:ascii="仿宋_GB2312" w:hAnsi="黑体"/>
        </w:rPr>
        <w:t>木垒县老干部芦河松新疆曲子传承社活动补助经费项目设立了项目绩效目标，与中共木垒哈萨克自治县委员会老干部局具有相关性，项目的预期产出效益和效果也均能符合正常的业绩水平，并且与预算确定的项目投资额或资金量相匹配。</w:t>
      </w:r>
    </w:p>
    <w:p>
      <w:pPr>
        <w:spacing w:line="360" w:lineRule="auto"/>
        <w:ind w:firstLine="600" w:firstLineChars="200"/>
        <w:rPr>
          <w:rFonts w:ascii="仿宋_GB2312" w:hAnsi="黑体"/>
        </w:rPr>
      </w:pPr>
      <w:r>
        <w:rPr>
          <w:rFonts w:hint="eastAsia" w:ascii="仿宋_GB2312" w:hAnsi="黑体"/>
        </w:rPr>
        <w:t>4.绩效指标明确性</w:t>
      </w:r>
    </w:p>
    <w:p>
      <w:pPr>
        <w:spacing w:line="360" w:lineRule="auto"/>
        <w:ind w:firstLine="600" w:firstLineChars="200"/>
        <w:rPr>
          <w:rFonts w:ascii="仿宋_GB2312" w:hAnsi="黑体"/>
        </w:rPr>
      </w:pPr>
      <w:bookmarkStart w:id="1" w:name="_Hlk68699917"/>
      <w:r>
        <w:rPr>
          <w:rFonts w:hint="eastAsia" w:ascii="仿宋_GB2312" w:hAnsi="黑体"/>
        </w:rPr>
        <w:t>木垒县老干部芦河松新疆曲子传承社活动补助经费项目将项目绩效目标细化分解为具体的绩效指标，一级指标共4条，二级指标共6条，三级指标共10条，其中量化指标条数共9条，所有绩效指标均通过清晰、可衡量的指标值予以体现，并且做到了与项目目标任务数或计划数相对应。</w:t>
      </w:r>
      <w:bookmarkEnd w:id="1"/>
    </w:p>
    <w:p>
      <w:pPr>
        <w:spacing w:line="360" w:lineRule="auto"/>
        <w:ind w:firstLine="600" w:firstLineChars="200"/>
        <w:rPr>
          <w:rFonts w:ascii="仿宋_GB2312" w:hAnsi="黑体"/>
        </w:rPr>
      </w:pPr>
      <w:r>
        <w:rPr>
          <w:rFonts w:hint="eastAsia" w:ascii="仿宋_GB2312" w:hAnsi="黑体"/>
        </w:rPr>
        <w:t>5.预算编制科学性</w:t>
      </w:r>
    </w:p>
    <w:p>
      <w:pPr>
        <w:spacing w:line="360" w:lineRule="auto"/>
        <w:ind w:firstLine="600" w:firstLineChars="200"/>
        <w:rPr>
          <w:rFonts w:ascii="仿宋_GB2312" w:hAnsi="黑体"/>
        </w:rPr>
      </w:pPr>
      <w:r>
        <w:rPr>
          <w:rFonts w:hint="eastAsia" w:ascii="仿宋_GB2312" w:hAnsi="黑体"/>
        </w:rPr>
        <w:t xml:space="preserve">  本项目建设内容及工程量严格按照《建设工程工程量清单计价规范》（GB50500-2013）规定计算，项目预算编制根据项目建设内容进行计算，预算数经过党组会议及专家论证确定，预算内容与项目内容无偏差，预算额度测算依据充分，项目投资额与工作任务匹配性100%，不存在偏差性。</w:t>
      </w:r>
    </w:p>
    <w:p>
      <w:pPr>
        <w:spacing w:line="360" w:lineRule="auto"/>
        <w:ind w:firstLine="600" w:firstLineChars="200"/>
        <w:rPr>
          <w:rFonts w:ascii="仿宋_GB2312" w:hAnsi="黑体"/>
        </w:rPr>
      </w:pPr>
      <w:r>
        <w:rPr>
          <w:rFonts w:hint="eastAsia" w:ascii="仿宋_GB2312" w:hAnsi="黑体"/>
        </w:rPr>
        <w:t>6.资金分配合理性</w:t>
      </w:r>
    </w:p>
    <w:p>
      <w:pPr>
        <w:spacing w:line="360" w:lineRule="auto"/>
        <w:ind w:firstLine="600" w:firstLineChars="200"/>
        <w:rPr>
          <w:rFonts w:ascii="仿宋_GB2312" w:hAnsi="黑体"/>
        </w:rPr>
      </w:pPr>
      <w:r>
        <w:rPr>
          <w:rFonts w:hint="eastAsia" w:ascii="仿宋_GB2312" w:hAnsi="黑体"/>
        </w:rPr>
        <w:t xml:space="preserve"> 本项目预算资金分配依据昌州财预【2021】76号，项目资金分配额度无偏低或偏高情况，分配额度合理。项目单位为中共木垒哈萨克自治县委员会老干部局位于木垒县，资金分配与单位实际相适应。</w:t>
      </w:r>
    </w:p>
    <w:p>
      <w:pPr>
        <w:pStyle w:val="3"/>
        <w:spacing w:line="360" w:lineRule="auto"/>
        <w:rPr>
          <w:rFonts w:ascii="仿宋_GB2312" w:hAnsi="黑体" w:eastAsia="仿宋_GB2312"/>
          <w:b w:val="0"/>
          <w:bCs w:val="0"/>
        </w:rPr>
      </w:pPr>
      <w:r>
        <w:rPr>
          <w:rFonts w:hint="eastAsia" w:ascii="仿宋_GB2312" w:hAnsi="黑体" w:eastAsia="仿宋_GB2312"/>
          <w:b w:val="0"/>
          <w:bCs w:val="0"/>
        </w:rPr>
        <w:t>（二）项目过程情况</w:t>
      </w:r>
    </w:p>
    <w:p>
      <w:pPr>
        <w:spacing w:line="360" w:lineRule="auto"/>
        <w:rPr>
          <w:rFonts w:ascii="仿宋_GB2312" w:hAnsi="黑体"/>
        </w:rPr>
      </w:pPr>
      <w:r>
        <w:rPr>
          <w:rFonts w:hint="eastAsia" w:ascii="仿宋_GB2312" w:hAnsi="黑体"/>
        </w:rPr>
        <w:t>1.资金到位率：</w:t>
      </w:r>
    </w:p>
    <w:p>
      <w:pPr>
        <w:spacing w:line="360" w:lineRule="auto"/>
        <w:ind w:firstLine="600" w:firstLineChars="200"/>
        <w:rPr>
          <w:rFonts w:ascii="仿宋_GB2312" w:hAnsi="黑体"/>
        </w:rPr>
      </w:pPr>
      <w:r>
        <w:rPr>
          <w:rFonts w:hint="eastAsia" w:ascii="仿宋_GB2312" w:hAnsi="黑体"/>
        </w:rPr>
        <w:t>实际到位资金5万元，预算资金5万元，资金到位率100%。</w:t>
      </w:r>
    </w:p>
    <w:p>
      <w:pPr>
        <w:spacing w:line="360" w:lineRule="auto"/>
        <w:rPr>
          <w:rFonts w:ascii="仿宋_GB2312" w:hAnsi="黑体"/>
        </w:rPr>
      </w:pPr>
      <w:r>
        <w:rPr>
          <w:rFonts w:hint="eastAsia" w:ascii="仿宋_GB2312" w:hAnsi="黑体"/>
        </w:rPr>
        <w:t>2.预算执行率</w:t>
      </w:r>
    </w:p>
    <w:p>
      <w:pPr>
        <w:spacing w:line="360" w:lineRule="auto"/>
        <w:ind w:firstLine="600" w:firstLineChars="200"/>
        <w:rPr>
          <w:rFonts w:ascii="仿宋_GB2312" w:hAnsi="黑体"/>
        </w:rPr>
      </w:pPr>
      <w:r>
        <w:rPr>
          <w:rFonts w:hint="eastAsia" w:ascii="仿宋_GB2312" w:hAnsi="黑体"/>
        </w:rPr>
        <w:t>年初预算数5万元，全年预算数5万元，全年执行数5万元，预算执行率为100%。</w:t>
      </w:r>
    </w:p>
    <w:p>
      <w:pPr>
        <w:spacing w:line="360" w:lineRule="auto"/>
        <w:rPr>
          <w:rFonts w:ascii="仿宋_GB2312" w:hAnsi="黑体"/>
        </w:rPr>
      </w:pPr>
      <w:r>
        <w:rPr>
          <w:rFonts w:hint="eastAsia" w:ascii="仿宋_GB2312" w:hAnsi="黑体"/>
        </w:rPr>
        <w:t>3.资金使用合规性</w:t>
      </w:r>
    </w:p>
    <w:p>
      <w:pPr>
        <w:spacing w:line="360" w:lineRule="auto"/>
        <w:ind w:firstLine="600" w:firstLineChars="200"/>
        <w:rPr>
          <w:rFonts w:ascii="仿宋_GB2312" w:hAnsi="黑体"/>
        </w:rPr>
      </w:pPr>
      <w:r>
        <w:rPr>
          <w:rFonts w:hint="eastAsia" w:ascii="仿宋_GB2312" w:hAnsi="黑体"/>
        </w:rPr>
        <w:t>3.1 资金使用符合、财务管理制度以及有关专项资金管理办法的规定；</w:t>
      </w:r>
    </w:p>
    <w:p>
      <w:pPr>
        <w:spacing w:line="360" w:lineRule="auto"/>
        <w:ind w:firstLine="600" w:firstLineChars="200"/>
        <w:rPr>
          <w:rFonts w:ascii="仿宋_GB2312" w:hAnsi="黑体"/>
        </w:rPr>
      </w:pPr>
      <w:r>
        <w:rPr>
          <w:rFonts w:hint="eastAsia" w:ascii="仿宋_GB2312" w:hAnsi="黑体"/>
        </w:rPr>
        <w:t>3.2 资金的拨付严格按照中共木垒哈萨克自治县委员会老干部局资金拨付审批程序进行：由业务科室提交办公室申请到分管领导，经审批后提交到主管领导。项目资金拨付手续齐全，资金拨付手续有：资金支付申请单以及收据。</w:t>
      </w:r>
    </w:p>
    <w:p>
      <w:pPr>
        <w:spacing w:line="360" w:lineRule="auto"/>
        <w:ind w:firstLine="600" w:firstLineChars="200"/>
        <w:rPr>
          <w:rFonts w:ascii="仿宋_GB2312" w:hAnsi="黑体"/>
        </w:rPr>
      </w:pPr>
      <w:r>
        <w:rPr>
          <w:rFonts w:hint="eastAsia" w:ascii="仿宋_GB2312" w:hAnsi="黑体"/>
        </w:rPr>
        <w:t>3.3 本项目资金合同规定的用途为：无合同。</w:t>
      </w:r>
    </w:p>
    <w:p>
      <w:pPr>
        <w:spacing w:line="360" w:lineRule="auto"/>
        <w:ind w:firstLine="600" w:firstLineChars="200"/>
        <w:rPr>
          <w:rFonts w:ascii="仿宋_GB2312" w:hAnsi="黑体"/>
        </w:rPr>
      </w:pPr>
      <w:r>
        <w:rPr>
          <w:rFonts w:hint="eastAsia" w:ascii="仿宋_GB2312" w:hAnsi="黑体"/>
        </w:rPr>
        <w:t>3.4 项目资金截至2023年6月1日已拨付至100%，过程不存在截留、挤占、挪用、虚列支出等情况。</w:t>
      </w:r>
    </w:p>
    <w:p>
      <w:pPr>
        <w:spacing w:line="360" w:lineRule="auto"/>
        <w:rPr>
          <w:rFonts w:ascii="仿宋_GB2312" w:hAnsi="黑体"/>
        </w:rPr>
      </w:pPr>
      <w:r>
        <w:rPr>
          <w:rFonts w:hint="eastAsia" w:ascii="仿宋_GB2312" w:hAnsi="黑体"/>
        </w:rPr>
        <w:t>4.管理制度健全性</w:t>
      </w:r>
    </w:p>
    <w:p>
      <w:pPr>
        <w:spacing w:line="360" w:lineRule="auto"/>
        <w:ind w:firstLine="600" w:firstLineChars="200"/>
        <w:rPr>
          <w:rFonts w:ascii="仿宋_GB2312" w:hAnsi="黑体"/>
        </w:rPr>
      </w:pPr>
      <w:r>
        <w:rPr>
          <w:rFonts w:hint="eastAsia" w:ascii="仿宋_GB2312" w:hAnsi="黑体"/>
        </w:rPr>
        <w:t>4.1 本项目已制定《中共木垒哈萨克自治县委员会老干部局木垒县老干部芦河松新疆曲子传承社活动补助经费项目财务管理制度》、《中共木垒哈萨克自治县委员会老干部局木垒县老干部芦河松新疆曲子传承社活动补助经费项目业务管理制度》，管理制度健全；</w:t>
      </w:r>
    </w:p>
    <w:p>
      <w:pPr>
        <w:spacing w:line="360" w:lineRule="auto"/>
        <w:ind w:firstLine="600" w:firstLineChars="200"/>
        <w:rPr>
          <w:rFonts w:ascii="仿宋_GB2312" w:hAnsi="黑体"/>
        </w:rPr>
      </w:pPr>
      <w:r>
        <w:rPr>
          <w:rFonts w:hint="eastAsia" w:ascii="仿宋_GB2312" w:hAnsi="黑体"/>
        </w:rPr>
        <w:t>4.2 本项目财务及业务管理制度符合《中华人民共和国政府采购法》、《中华人民共和国会计法》等相关法律法规，财务和业务管理制度已经过中共木垒哈萨克自治县委员会老干部局审批通过，确保了各项制度的合法合规性及完整性。</w:t>
      </w:r>
    </w:p>
    <w:p>
      <w:pPr>
        <w:spacing w:line="360" w:lineRule="auto"/>
        <w:rPr>
          <w:rFonts w:ascii="仿宋_GB2312" w:hAnsi="黑体"/>
        </w:rPr>
      </w:pPr>
      <w:r>
        <w:rPr>
          <w:rFonts w:hint="eastAsia" w:ascii="仿宋_GB2312" w:hAnsi="黑体"/>
        </w:rPr>
        <w:t>5.制度执行有效性</w:t>
      </w:r>
    </w:p>
    <w:p>
      <w:pPr>
        <w:spacing w:line="360" w:lineRule="auto"/>
        <w:rPr>
          <w:rFonts w:ascii="仿宋_GB2312" w:hAnsi="黑体"/>
        </w:rPr>
      </w:pPr>
      <w:r>
        <w:rPr>
          <w:rFonts w:hint="eastAsia" w:ascii="仿宋_GB2312" w:hAnsi="黑体"/>
        </w:rPr>
        <w:t xml:space="preserve">    5.1 项目的审批、招标、建设、验收过程均遵守相关法律法规和相关管理规定；</w:t>
      </w:r>
    </w:p>
    <w:p>
      <w:pPr>
        <w:spacing w:line="360" w:lineRule="auto"/>
        <w:ind w:firstLine="600" w:firstLineChars="200"/>
        <w:rPr>
          <w:rFonts w:ascii="仿宋_GB2312" w:hAnsi="黑体"/>
        </w:rPr>
      </w:pPr>
      <w:r>
        <w:rPr>
          <w:rFonts w:hint="eastAsia" w:ascii="仿宋_GB2312" w:hAnsi="黑体"/>
        </w:rPr>
        <w:t>5.2 本项目无调整情况；</w:t>
      </w:r>
    </w:p>
    <w:p>
      <w:pPr>
        <w:spacing w:line="360" w:lineRule="auto"/>
        <w:ind w:firstLine="600" w:firstLineChars="200"/>
        <w:rPr>
          <w:rFonts w:ascii="仿宋_GB2312" w:hAnsi="黑体"/>
        </w:rPr>
      </w:pPr>
      <w:r>
        <w:rPr>
          <w:rFonts w:hint="eastAsia" w:ascii="仿宋_GB2312" w:hAnsi="黑体"/>
        </w:rPr>
        <w:t>5.3 项目合同书、验收报告、技术鉴定等资料齐全并已及时归档；</w:t>
      </w:r>
    </w:p>
    <w:p>
      <w:pPr>
        <w:spacing w:line="360" w:lineRule="auto"/>
        <w:ind w:firstLine="600" w:firstLineChars="200"/>
        <w:rPr>
          <w:rFonts w:ascii="仿宋_GB2312" w:hAnsi="黑体"/>
        </w:rPr>
      </w:pPr>
      <w:r>
        <w:rPr>
          <w:rFonts w:hint="eastAsia" w:ascii="仿宋_GB2312" w:hAnsi="黑体"/>
        </w:rPr>
        <w:t>5.4 项目实施的人员条件、场地设备、信息支撑等均已落实到位。</w:t>
      </w:r>
    </w:p>
    <w:p/>
    <w:p/>
    <w:p/>
    <w:p>
      <w:pPr>
        <w:pStyle w:val="3"/>
        <w:spacing w:line="360" w:lineRule="auto"/>
        <w:rPr>
          <w:rFonts w:ascii="仿宋_GB2312" w:hAnsi="黑体" w:eastAsia="仿宋_GB2312"/>
          <w:b w:val="0"/>
          <w:bCs w:val="0"/>
        </w:rPr>
      </w:pPr>
      <w:r>
        <w:rPr>
          <w:rFonts w:hint="eastAsia" w:ascii="仿宋_GB2312" w:hAnsi="黑体" w:eastAsia="仿宋_GB2312"/>
          <w:b w:val="0"/>
          <w:bCs w:val="0"/>
        </w:rPr>
        <w:t>（三）项目产出情况</w:t>
      </w:r>
    </w:p>
    <w:p>
      <w:pPr>
        <w:spacing w:line="360" w:lineRule="auto"/>
        <w:ind w:firstLine="600" w:firstLineChars="200"/>
        <w:rPr>
          <w:rFonts w:ascii="仿宋_GB2312" w:hAnsi="黑体"/>
        </w:rPr>
      </w:pPr>
      <w:r>
        <w:rPr>
          <w:rFonts w:hint="eastAsia" w:ascii="仿宋_GB2312" w:hAnsi="黑体"/>
        </w:rPr>
        <w:t>我单位木垒县老干部芦河松新疆曲子传承社活动补助经费项目截止到2023年12月31日，已完成使用基层机构补助资金5万元，用于木垒县域内3次文化下乡演出各项经费支出，参加昌吉州新疆曲子汇演和各县观摩汇演2次的经费支出，丰富群众业余生活，传承新疆曲子文化；其中：</w:t>
      </w:r>
    </w:p>
    <w:p/>
    <w:p>
      <w:pPr>
        <w:spacing w:line="360" w:lineRule="auto"/>
        <w:ind w:firstLine="564" w:firstLineChars="188"/>
        <w:rPr>
          <w:rFonts w:ascii="仿宋_GB2312" w:hAnsi="黑体"/>
        </w:rPr>
      </w:pPr>
      <w:r>
        <w:rPr>
          <w:rFonts w:hint="eastAsia" w:ascii="仿宋_GB2312" w:hAnsi="黑体"/>
        </w:rPr>
        <w:t>1</w:t>
      </w:r>
      <w:r>
        <w:rPr>
          <w:rFonts w:ascii="仿宋_GB2312" w:hAnsi="黑体"/>
        </w:rPr>
        <w:t>.</w:t>
      </w:r>
      <w:r>
        <w:rPr>
          <w:rFonts w:hint="eastAsia" w:ascii="仿宋_GB2312" w:hAnsi="黑体"/>
        </w:rPr>
        <w:t>项目完成数量</w:t>
      </w:r>
    </w:p>
    <w:p>
      <w:pPr>
        <w:spacing w:line="360" w:lineRule="auto"/>
        <w:ind w:firstLine="600" w:firstLineChars="200"/>
        <w:rPr>
          <w:rFonts w:ascii="仿宋_GB2312" w:hAnsi="黑体" w:cs="仿宋"/>
          <w:szCs w:val="30"/>
        </w:rPr>
      </w:pPr>
      <w:r>
        <w:rPr>
          <w:rFonts w:hint="eastAsia" w:ascii="仿宋_GB2312" w:hAnsi="黑体" w:cs="仿宋"/>
          <w:szCs w:val="30"/>
        </w:rPr>
        <w:t>指标1：县域内送文化下乡演出，指标值：</w:t>
      </w:r>
      <w:r>
        <w:rPr>
          <w:rFonts w:ascii="仿宋_GB2312" w:hAnsi="黑体" w:cs="仿宋"/>
          <w:szCs w:val="30"/>
        </w:rPr>
        <w:t>≥</w:t>
      </w:r>
      <w:r>
        <w:rPr>
          <w:rFonts w:hint="eastAsia" w:ascii="仿宋_GB2312" w:hAnsi="黑体" w:cs="仿宋"/>
          <w:szCs w:val="30"/>
        </w:rPr>
        <w:t>3场，实际完成值3场，指标完成率100 %；</w:t>
      </w:r>
    </w:p>
    <w:p>
      <w:pPr>
        <w:spacing w:line="360" w:lineRule="auto"/>
        <w:ind w:firstLine="600" w:firstLineChars="200"/>
        <w:rPr>
          <w:rFonts w:ascii="仿宋_GB2312" w:hAnsi="黑体" w:cs="仿宋"/>
          <w:szCs w:val="30"/>
        </w:rPr>
      </w:pPr>
      <w:r>
        <w:rPr>
          <w:rFonts w:hint="eastAsia" w:ascii="仿宋_GB2312" w:hAnsi="黑体" w:cs="仿宋"/>
          <w:szCs w:val="30"/>
        </w:rPr>
        <w:t>指标2：昌吉州汇演次数，指标值：</w:t>
      </w:r>
      <w:r>
        <w:rPr>
          <w:rFonts w:ascii="仿宋_GB2312" w:hAnsi="黑体" w:cs="仿宋"/>
          <w:szCs w:val="30"/>
        </w:rPr>
        <w:t>≥</w:t>
      </w:r>
      <w:r>
        <w:rPr>
          <w:rFonts w:hint="eastAsia" w:ascii="仿宋_GB2312" w:hAnsi="黑体" w:cs="仿宋"/>
          <w:szCs w:val="30"/>
        </w:rPr>
        <w:t>1场，实际完成值1场，指标完成率100 %；</w:t>
      </w:r>
    </w:p>
    <w:p>
      <w:pPr>
        <w:spacing w:line="360" w:lineRule="auto"/>
        <w:ind w:firstLine="600" w:firstLineChars="200"/>
        <w:rPr>
          <w:rFonts w:ascii="仿宋_GB2312" w:hAnsi="黑体" w:cs="仿宋"/>
          <w:szCs w:val="30"/>
        </w:rPr>
      </w:pPr>
      <w:r>
        <w:rPr>
          <w:rFonts w:hint="eastAsia" w:ascii="仿宋_GB2312" w:hAnsi="黑体" w:cs="仿宋"/>
          <w:szCs w:val="30"/>
        </w:rPr>
        <w:t>指标3：各县观摩汇演场数，指标值：</w:t>
      </w:r>
      <w:r>
        <w:rPr>
          <w:rFonts w:ascii="仿宋_GB2312" w:hAnsi="黑体" w:cs="仿宋"/>
          <w:szCs w:val="30"/>
        </w:rPr>
        <w:t>≥</w:t>
      </w:r>
      <w:r>
        <w:rPr>
          <w:rFonts w:hint="eastAsia" w:ascii="仿宋_GB2312" w:hAnsi="黑体" w:cs="仿宋"/>
          <w:szCs w:val="30"/>
        </w:rPr>
        <w:t>2场，实际完成值2场，指标完成率100 %；</w:t>
      </w:r>
    </w:p>
    <w:p>
      <w:pPr>
        <w:spacing w:line="360" w:lineRule="auto"/>
        <w:ind w:firstLine="600" w:firstLineChars="200"/>
        <w:rPr>
          <w:rFonts w:ascii="仿宋_GB2312" w:hAnsi="黑体" w:cs="仿宋"/>
          <w:szCs w:val="30"/>
        </w:rPr>
      </w:pPr>
      <w:r>
        <w:rPr>
          <w:rFonts w:hint="eastAsia" w:ascii="仿宋_GB2312" w:hAnsi="黑体" w:cs="仿宋"/>
          <w:szCs w:val="30"/>
        </w:rPr>
        <w:t>指标4：购买演出戏服数量，指标值：</w:t>
      </w:r>
      <w:r>
        <w:rPr>
          <w:rFonts w:ascii="仿宋_GB2312" w:hAnsi="黑体" w:cs="仿宋"/>
          <w:szCs w:val="30"/>
        </w:rPr>
        <w:t>≥</w:t>
      </w:r>
      <w:r>
        <w:rPr>
          <w:rFonts w:hint="eastAsia" w:ascii="仿宋_GB2312" w:hAnsi="黑体" w:cs="仿宋"/>
          <w:szCs w:val="30"/>
        </w:rPr>
        <w:t>15套，实际完成值15套，指标完成率100 %；</w:t>
      </w:r>
    </w:p>
    <w:p>
      <w:pPr>
        <w:spacing w:line="360" w:lineRule="auto"/>
        <w:ind w:firstLine="600" w:firstLineChars="200"/>
        <w:rPr>
          <w:rFonts w:ascii="仿宋_GB2312" w:hAnsi="黑体" w:cs="仿宋"/>
          <w:szCs w:val="30"/>
        </w:rPr>
      </w:pPr>
      <w:r>
        <w:rPr>
          <w:rFonts w:hint="eastAsia" w:ascii="仿宋_GB2312" w:hAnsi="黑体" w:cs="仿宋"/>
          <w:szCs w:val="30"/>
        </w:rPr>
        <w:t>2.项目完成质量：</w:t>
      </w:r>
    </w:p>
    <w:p>
      <w:pPr>
        <w:spacing w:line="360" w:lineRule="auto"/>
        <w:ind w:firstLine="600" w:firstLineChars="200"/>
        <w:rPr>
          <w:rFonts w:ascii="仿宋_GB2312" w:hAnsi="黑体" w:cs="仿宋"/>
          <w:szCs w:val="30"/>
        </w:rPr>
      </w:pPr>
      <w:r>
        <w:rPr>
          <w:rFonts w:hint="eastAsia" w:ascii="仿宋_GB2312" w:hAnsi="黑体" w:cs="仿宋"/>
          <w:szCs w:val="30"/>
        </w:rPr>
        <w:t>指标1：演出举办成功率，指标值：</w:t>
      </w:r>
      <w:r>
        <w:rPr>
          <w:rFonts w:ascii="仿宋_GB2312" w:hAnsi="黑体" w:cs="仿宋"/>
          <w:szCs w:val="30"/>
        </w:rPr>
        <w:t>≥</w:t>
      </w:r>
      <w:r>
        <w:rPr>
          <w:rFonts w:hint="eastAsia" w:ascii="仿宋_GB2312" w:hAnsi="黑体" w:cs="仿宋"/>
          <w:szCs w:val="30"/>
        </w:rPr>
        <w:t>95%，实际完成值95%，指标完成率100%。</w:t>
      </w:r>
    </w:p>
    <w:p>
      <w:pPr>
        <w:spacing w:line="360" w:lineRule="auto"/>
        <w:ind w:firstLine="600" w:firstLineChars="200"/>
        <w:rPr>
          <w:rFonts w:ascii="仿宋_GB2312" w:hAnsi="黑体" w:cs="仿宋"/>
          <w:szCs w:val="30"/>
        </w:rPr>
      </w:pPr>
      <w:r>
        <w:rPr>
          <w:rFonts w:hint="eastAsia" w:ascii="仿宋_GB2312" w:hAnsi="黑体" w:cs="仿宋"/>
          <w:szCs w:val="30"/>
        </w:rPr>
        <w:t>3.项目完成时效</w:t>
      </w:r>
    </w:p>
    <w:p>
      <w:pPr>
        <w:spacing w:line="360" w:lineRule="auto"/>
        <w:ind w:firstLine="600" w:firstLineChars="200"/>
        <w:rPr>
          <w:rFonts w:ascii="仿宋_GB2312" w:hAnsi="黑体" w:cs="仿宋"/>
          <w:szCs w:val="30"/>
        </w:rPr>
      </w:pPr>
      <w:r>
        <w:rPr>
          <w:rFonts w:hint="eastAsia" w:ascii="仿宋_GB2312" w:hAnsi="黑体" w:cs="仿宋"/>
          <w:szCs w:val="30"/>
        </w:rPr>
        <w:t>指标1：演出按时完成率，指标值：</w:t>
      </w:r>
      <w:r>
        <w:rPr>
          <w:rFonts w:hint="eastAsia" w:ascii="微软雅黑" w:hAnsi="微软雅黑" w:eastAsia="微软雅黑" w:cs="微软雅黑"/>
          <w:szCs w:val="30"/>
        </w:rPr>
        <w:t>=</w:t>
      </w:r>
      <w:r>
        <w:rPr>
          <w:rFonts w:hint="eastAsia" w:ascii="仿宋_GB2312" w:hAnsi="黑体" w:cs="仿宋"/>
          <w:szCs w:val="30"/>
        </w:rPr>
        <w:t>100% ，实际完成值100%，指标完成率100%</w:t>
      </w:r>
    </w:p>
    <w:p>
      <w:pPr>
        <w:spacing w:line="360" w:lineRule="auto"/>
        <w:ind w:firstLine="600" w:firstLineChars="200"/>
        <w:rPr>
          <w:rFonts w:ascii="仿宋_GB2312" w:hAnsi="黑体" w:cs="仿宋"/>
          <w:szCs w:val="30"/>
        </w:rPr>
      </w:pPr>
      <w:r>
        <w:rPr>
          <w:rFonts w:hint="eastAsia" w:ascii="仿宋_GB2312" w:hAnsi="黑体" w:cs="仿宋"/>
          <w:szCs w:val="30"/>
        </w:rPr>
        <w:t>4.项目完成成本</w:t>
      </w:r>
    </w:p>
    <w:p>
      <w:pPr>
        <w:spacing w:line="360" w:lineRule="auto"/>
        <w:ind w:firstLine="600" w:firstLineChars="200"/>
        <w:rPr>
          <w:rFonts w:ascii="仿宋_GB2312" w:hAnsi="黑体" w:cs="仿宋"/>
          <w:szCs w:val="30"/>
        </w:rPr>
      </w:pPr>
      <w:r>
        <w:rPr>
          <w:rFonts w:hint="eastAsia" w:ascii="仿宋_GB2312" w:hAnsi="黑体" w:cs="仿宋"/>
          <w:szCs w:val="30"/>
        </w:rPr>
        <w:t>指标1：活动支出，指标值：</w:t>
      </w:r>
      <w:r>
        <w:rPr>
          <w:rFonts w:ascii="仿宋_GB2312" w:hAnsi="黑体" w:cs="仿宋"/>
          <w:szCs w:val="30"/>
        </w:rPr>
        <w:t>≤</w:t>
      </w:r>
      <w:r>
        <w:rPr>
          <w:rFonts w:hint="eastAsia" w:ascii="仿宋_GB2312" w:hAnsi="黑体" w:cs="仿宋"/>
          <w:szCs w:val="30"/>
        </w:rPr>
        <w:t>3.50万元 ，实际完成值3.50万元，指标完成率100%；</w:t>
      </w:r>
    </w:p>
    <w:p>
      <w:pPr>
        <w:spacing w:line="360" w:lineRule="auto"/>
        <w:ind w:firstLine="600" w:firstLineChars="200"/>
        <w:rPr>
          <w:rFonts w:ascii="仿宋_GB2312" w:hAnsi="黑体" w:cs="仿宋"/>
          <w:szCs w:val="30"/>
        </w:rPr>
      </w:pPr>
      <w:r>
        <w:rPr>
          <w:rFonts w:hint="eastAsia" w:ascii="仿宋_GB2312" w:hAnsi="黑体" w:cs="仿宋"/>
          <w:szCs w:val="30"/>
        </w:rPr>
        <w:t>指标2：演出服购置费，指标值：=1.5万元，实际完成值1.5万元，指标完成率100%。</w:t>
      </w:r>
    </w:p>
    <w:p>
      <w:pPr>
        <w:spacing w:line="360" w:lineRule="auto"/>
        <w:ind w:firstLine="600" w:firstLineChars="200"/>
        <w:rPr>
          <w:rFonts w:ascii="仿宋_GB2312" w:hAnsi="黑体"/>
        </w:rPr>
      </w:pPr>
      <w:r>
        <w:rPr>
          <w:rFonts w:hint="eastAsia" w:ascii="仿宋_GB2312" w:hAnsi="黑体"/>
        </w:rPr>
        <w:t>（四）项目效益情况。</w:t>
      </w:r>
    </w:p>
    <w:p>
      <w:pPr>
        <w:ind w:firstLine="300" w:firstLineChars="100"/>
      </w:pPr>
      <w:r>
        <w:rPr>
          <w:rFonts w:hint="eastAsia"/>
        </w:rPr>
        <w:t>我单位木垒县老干部芦河松新疆曲子传承社活动补助经费项目截止到2023年12月31日，已完成相关社会效益以及满意度效益指标；其中：</w:t>
      </w:r>
    </w:p>
    <w:p>
      <w:pPr>
        <w:spacing w:line="360" w:lineRule="auto"/>
        <w:ind w:firstLine="600" w:firstLineChars="200"/>
        <w:rPr>
          <w:rFonts w:ascii="仿宋_GB2312" w:hAnsi="黑体" w:cs="仿宋"/>
          <w:szCs w:val="30"/>
        </w:rPr>
      </w:pPr>
      <w:r>
        <w:rPr>
          <w:rFonts w:hint="eastAsia" w:ascii="仿宋_GB2312" w:hAnsi="黑体" w:cs="仿宋"/>
          <w:szCs w:val="30"/>
        </w:rPr>
        <w:t>1</w:t>
      </w:r>
      <w:r>
        <w:rPr>
          <w:rFonts w:ascii="仿宋_GB2312" w:hAnsi="黑体" w:cs="仿宋"/>
          <w:szCs w:val="30"/>
        </w:rPr>
        <w:t>.</w:t>
      </w:r>
      <w:r>
        <w:rPr>
          <w:rFonts w:hint="eastAsia" w:ascii="仿宋_GB2312" w:hAnsi="黑体" w:cs="仿宋"/>
          <w:szCs w:val="30"/>
        </w:rPr>
        <w:t>项目实施的社会效益分析</w:t>
      </w:r>
    </w:p>
    <w:p>
      <w:pPr>
        <w:spacing w:line="360" w:lineRule="auto"/>
        <w:ind w:firstLine="600" w:firstLineChars="200"/>
        <w:rPr>
          <w:rFonts w:ascii="仿宋_GB2312" w:hAnsi="黑体" w:cs="仿宋"/>
          <w:szCs w:val="30"/>
        </w:rPr>
      </w:pPr>
      <w:bookmarkStart w:id="2" w:name="_Hlk100681882"/>
      <w:r>
        <w:rPr>
          <w:rFonts w:hint="eastAsia" w:ascii="仿宋_GB2312" w:hAnsi="黑体" w:cs="仿宋"/>
          <w:szCs w:val="30"/>
        </w:rPr>
        <w:t>指标1：提升新疆曲子文化传播度，指标值：大力提升 ，实际完成值大力提升，指标完成率100%。</w:t>
      </w:r>
    </w:p>
    <w:bookmarkEnd w:id="2"/>
    <w:p>
      <w:pPr>
        <w:pStyle w:val="14"/>
        <w:spacing w:line="360" w:lineRule="auto"/>
        <w:ind w:left="420" w:firstLine="0" w:firstLineChars="0"/>
        <w:rPr>
          <w:rFonts w:ascii="仿宋_GB2312" w:hAnsi="黑体" w:cs="仿宋"/>
          <w:szCs w:val="30"/>
        </w:rPr>
      </w:pPr>
      <w:r>
        <w:rPr>
          <w:rFonts w:hint="eastAsia" w:ascii="仿宋_GB2312" w:hAnsi="黑体" w:cs="仿宋"/>
          <w:szCs w:val="30"/>
        </w:rPr>
        <w:t>（五）满意度指标完成情况分析</w:t>
      </w:r>
    </w:p>
    <w:p>
      <w:pPr>
        <w:pStyle w:val="14"/>
        <w:spacing w:line="360" w:lineRule="auto"/>
        <w:ind w:left="420" w:firstLine="0" w:firstLineChars="0"/>
        <w:rPr>
          <w:rFonts w:ascii="仿宋_GB2312" w:hAnsi="黑体" w:cs="仿宋"/>
          <w:szCs w:val="30"/>
        </w:rPr>
      </w:pPr>
      <w:r>
        <w:rPr>
          <w:rFonts w:hint="eastAsia" w:ascii="仿宋_GB2312" w:hAnsi="黑体" w:cs="仿宋"/>
          <w:szCs w:val="30"/>
        </w:rPr>
        <w:t>指标1：观众满意度，指标值：</w:t>
      </w:r>
      <w:r>
        <w:rPr>
          <w:rFonts w:ascii="仿宋_GB2312" w:hAnsi="黑体" w:cs="仿宋"/>
          <w:szCs w:val="30"/>
        </w:rPr>
        <w:t>≥</w:t>
      </w:r>
      <w:r>
        <w:rPr>
          <w:rFonts w:hint="eastAsia" w:ascii="仿宋_GB2312" w:hAnsi="黑体" w:cs="仿宋"/>
          <w:szCs w:val="30"/>
        </w:rPr>
        <w:t>90%，实际完成值90%，指标完成率100%。</w:t>
      </w:r>
    </w:p>
    <w:p>
      <w:pPr>
        <w:spacing w:line="360" w:lineRule="auto"/>
        <w:rPr>
          <w:rFonts w:ascii="仿宋_GB2312" w:hAnsi="黑体" w:cs="仿宋"/>
          <w:b/>
          <w:bCs/>
          <w:szCs w:val="30"/>
        </w:rPr>
      </w:pPr>
      <w:bookmarkStart w:id="3" w:name="_Toc28962"/>
      <w:bookmarkStart w:id="4" w:name="_Toc6825"/>
      <w:r>
        <w:rPr>
          <w:rFonts w:hint="eastAsia" w:ascii="仿宋_GB2312" w:hAnsi="黑体" w:cs="仿宋"/>
          <w:b/>
          <w:bCs/>
          <w:szCs w:val="30"/>
        </w:rPr>
        <w:t>五、预算执行进度与绩效指标偏差</w:t>
      </w:r>
      <w:bookmarkEnd w:id="3"/>
      <w:bookmarkEnd w:id="4"/>
    </w:p>
    <w:p>
      <w:pPr>
        <w:spacing w:line="360" w:lineRule="auto"/>
        <w:rPr>
          <w:rFonts w:ascii="仿宋_GB2312" w:hAnsi="黑体" w:cs="仿宋"/>
          <w:szCs w:val="30"/>
        </w:rPr>
      </w:pPr>
      <w:bookmarkStart w:id="5" w:name="_Toc10832"/>
      <w:bookmarkStart w:id="6" w:name="_Toc15026"/>
      <w:r>
        <w:rPr>
          <w:rFonts w:hint="eastAsia" w:ascii="仿宋_GB2312" w:hAnsi="黑体" w:cs="仿宋"/>
          <w:szCs w:val="30"/>
        </w:rPr>
        <w:t>（一）预算执行进度</w:t>
      </w:r>
      <w:bookmarkEnd w:id="5"/>
      <w:bookmarkEnd w:id="6"/>
    </w:p>
    <w:p>
      <w:pPr>
        <w:spacing w:line="360" w:lineRule="auto"/>
        <w:rPr>
          <w:rFonts w:ascii="仿宋_GB2312" w:hAnsi="黑体" w:cs="仿宋"/>
          <w:szCs w:val="30"/>
        </w:rPr>
      </w:pPr>
      <w:r>
        <w:rPr>
          <w:rFonts w:hint="eastAsia" w:ascii="仿宋_GB2312" w:hAnsi="黑体" w:cs="仿宋"/>
          <w:szCs w:val="30"/>
        </w:rPr>
        <w:t xml:space="preserve">    根据申请资金书内容，中共木垒哈萨克自治县委员会老干部局单位于2023年6月5日拨付5万元至木垒县老干部芦河松新疆曲子传承社、截至2023年12月31日已执行5万元，预算执行率100%。</w:t>
      </w:r>
    </w:p>
    <w:p>
      <w:pPr>
        <w:numPr>
          <w:ilvl w:val="0"/>
          <w:numId w:val="2"/>
        </w:numPr>
        <w:spacing w:line="360" w:lineRule="auto"/>
        <w:rPr>
          <w:rFonts w:ascii="仿宋_GB2312" w:hAnsi="黑体" w:cs="仿宋"/>
          <w:szCs w:val="30"/>
        </w:rPr>
      </w:pPr>
      <w:bookmarkStart w:id="7" w:name="_Toc28090"/>
      <w:r>
        <w:rPr>
          <w:rFonts w:hint="eastAsia" w:ascii="仿宋_GB2312" w:hAnsi="黑体" w:cs="仿宋"/>
          <w:szCs w:val="30"/>
        </w:rPr>
        <w:t>绩效指标偏差</w:t>
      </w:r>
      <w:bookmarkEnd w:id="7"/>
    </w:p>
    <w:p>
      <w:pPr>
        <w:spacing w:line="360" w:lineRule="auto"/>
        <w:rPr>
          <w:rFonts w:ascii="仿宋_GB2312" w:hAnsi="黑体" w:cs="仿宋"/>
          <w:szCs w:val="30"/>
        </w:rPr>
      </w:pPr>
      <w:r>
        <w:rPr>
          <w:rFonts w:hint="eastAsia" w:ascii="仿宋_GB2312" w:hAnsi="黑体" w:cs="仿宋"/>
          <w:szCs w:val="30"/>
        </w:rPr>
        <w:t xml:space="preserve">      本项目绩效指标无偏差情况。</w:t>
      </w:r>
    </w:p>
    <w:p>
      <w:pPr>
        <w:keepNext/>
        <w:keepLines/>
        <w:spacing w:before="340" w:after="330" w:line="360" w:lineRule="auto"/>
        <w:outlineLvl w:val="0"/>
        <w:rPr>
          <w:rFonts w:ascii="仿宋_GB2312" w:hAnsi="黑体" w:cs="仿宋"/>
          <w:b/>
          <w:bCs/>
          <w:szCs w:val="30"/>
        </w:rPr>
      </w:pPr>
      <w:bookmarkStart w:id="8" w:name="_Toc17549"/>
      <w:bookmarkStart w:id="9" w:name="_Toc30012"/>
      <w:r>
        <w:rPr>
          <w:rFonts w:hint="eastAsia" w:ascii="仿宋_GB2312" w:hAnsi="黑体" w:cs="仿宋"/>
          <w:b/>
          <w:bCs/>
          <w:szCs w:val="30"/>
        </w:rPr>
        <w:t>六、主要经验及做法、存在的问题及原因分析</w:t>
      </w:r>
      <w:bookmarkEnd w:id="8"/>
      <w:bookmarkEnd w:id="9"/>
    </w:p>
    <w:p>
      <w:pPr>
        <w:keepNext/>
        <w:keepLines/>
        <w:spacing w:before="260" w:after="260" w:line="360" w:lineRule="auto"/>
        <w:outlineLvl w:val="1"/>
        <w:rPr>
          <w:rFonts w:ascii="仿宋_GB2312" w:hAnsi="黑体" w:cs="仿宋"/>
          <w:szCs w:val="30"/>
        </w:rPr>
      </w:pPr>
      <w:bookmarkStart w:id="10" w:name="_Toc68703843"/>
      <w:bookmarkStart w:id="11" w:name="_Toc13398"/>
      <w:r>
        <w:rPr>
          <w:rFonts w:hint="eastAsia" w:ascii="仿宋_GB2312" w:hAnsi="黑体" w:cs="仿宋"/>
          <w:szCs w:val="30"/>
        </w:rPr>
        <w:t>（一）主要经验及做法</w:t>
      </w:r>
      <w:bookmarkEnd w:id="10"/>
      <w:bookmarkEnd w:id="11"/>
    </w:p>
    <w:p>
      <w:pPr>
        <w:spacing w:line="360" w:lineRule="auto"/>
        <w:ind w:firstLine="600" w:firstLineChars="200"/>
        <w:rPr>
          <w:rFonts w:ascii="仿宋_GB2312" w:hAnsi="黑体" w:cs="仿宋"/>
          <w:szCs w:val="30"/>
        </w:rPr>
      </w:pPr>
      <w:r>
        <w:rPr>
          <w:rFonts w:hint="eastAsia" w:ascii="仿宋_GB2312" w:hAnsi="黑体" w:cs="仿宋"/>
          <w:szCs w:val="30"/>
        </w:rPr>
        <w:t>（1）是领导高度重视。专项资金预算下拨后，主要领导和分管领导高度重视，落实责任分工，确保项目顺利进行。</w:t>
      </w:r>
    </w:p>
    <w:p>
      <w:pPr>
        <w:spacing w:line="360" w:lineRule="auto"/>
        <w:ind w:firstLine="600" w:firstLineChars="200"/>
        <w:rPr>
          <w:rFonts w:ascii="仿宋_GB2312" w:hAnsi="黑体" w:cs="仿宋"/>
          <w:szCs w:val="30"/>
        </w:rPr>
      </w:pPr>
      <w:r>
        <w:rPr>
          <w:rFonts w:hint="eastAsia" w:ascii="仿宋_GB2312" w:hAnsi="黑体" w:cs="仿宋"/>
          <w:szCs w:val="30"/>
        </w:rPr>
        <w:t>（2）是管理愈加规范。制定了专项资金管理工作制度，明确了资金付款流程，统一了资金申请手续，做到了层层审核、层层负责、层层把关，付款中全部要求请款单位提供正规发票，没用白条入账现象。</w:t>
      </w:r>
    </w:p>
    <w:p>
      <w:pPr>
        <w:spacing w:line="360" w:lineRule="auto"/>
        <w:ind w:firstLine="600" w:firstLineChars="200"/>
        <w:rPr>
          <w:rFonts w:ascii="仿宋_GB2312" w:hAnsi="黑体" w:cs="仿宋"/>
          <w:szCs w:val="30"/>
        </w:rPr>
      </w:pPr>
      <w:r>
        <w:rPr>
          <w:rFonts w:hint="eastAsia" w:ascii="仿宋_GB2312" w:hAnsi="黑体" w:cs="仿宋"/>
          <w:szCs w:val="30"/>
        </w:rP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p>
    <w:p>
      <w:pPr>
        <w:snapToGrid w:val="0"/>
        <w:spacing w:line="360" w:lineRule="auto"/>
        <w:jc w:val="left"/>
        <w:rPr>
          <w:rFonts w:ascii="仿宋_GB2312" w:hAnsi="黑体" w:cs="仿宋"/>
          <w:szCs w:val="30"/>
        </w:rPr>
      </w:pPr>
    </w:p>
    <w:p>
      <w:pPr>
        <w:spacing w:line="360" w:lineRule="auto"/>
        <w:ind w:firstLine="600" w:firstLineChars="200"/>
        <w:rPr>
          <w:rFonts w:ascii="仿宋_GB2312" w:hAnsi="黑体" w:cs="仿宋"/>
          <w:szCs w:val="30"/>
        </w:rPr>
      </w:pPr>
      <w:r>
        <w:rPr>
          <w:rFonts w:hint="eastAsia" w:ascii="仿宋_GB2312" w:hAnsi="黑体" w:cs="仿宋"/>
          <w:szCs w:val="30"/>
        </w:rPr>
        <w:t>（二）后续工作计划</w:t>
      </w:r>
    </w:p>
    <w:p>
      <w:pPr>
        <w:spacing w:line="360" w:lineRule="auto"/>
        <w:ind w:firstLine="600" w:firstLineChars="200"/>
        <w:rPr>
          <w:rFonts w:ascii="仿宋_GB2312" w:hAnsi="黑体" w:cs="仿宋"/>
          <w:szCs w:val="30"/>
        </w:rPr>
      </w:pPr>
      <w:r>
        <w:rPr>
          <w:rFonts w:hint="eastAsia" w:ascii="仿宋_GB2312" w:hAnsi="黑体" w:cs="仿宋"/>
          <w:szCs w:val="30"/>
        </w:rPr>
        <w:t>我们将进一步加强资金管理、项目管理，用制度、用规范来有效提高项目进度，专人负责资金、专人负责项目现场管理，确保该项目在既定时间内完成所有工程量，达到预期效果。</w:t>
      </w:r>
    </w:p>
    <w:p>
      <w:pPr>
        <w:spacing w:after="120" w:line="360" w:lineRule="auto"/>
        <w:ind w:left="600" w:leftChars="200" w:firstLine="600" w:firstLineChars="200"/>
        <w:rPr>
          <w:rFonts w:ascii="仿宋_GB2312" w:hAnsi="黑体" w:cs="仿宋"/>
          <w:szCs w:val="30"/>
        </w:rPr>
      </w:pPr>
    </w:p>
    <w:p>
      <w:pPr>
        <w:keepNext/>
        <w:keepLines/>
        <w:spacing w:before="260" w:after="260" w:line="360" w:lineRule="auto"/>
        <w:outlineLvl w:val="1"/>
        <w:rPr>
          <w:rFonts w:ascii="仿宋_GB2312" w:hAnsi="黑体" w:cs="仿宋"/>
          <w:szCs w:val="30"/>
        </w:rPr>
      </w:pPr>
      <w:bookmarkStart w:id="12" w:name="_Toc16865"/>
      <w:bookmarkStart w:id="13" w:name="_Toc68703844"/>
      <w:r>
        <w:rPr>
          <w:rFonts w:hint="eastAsia" w:ascii="仿宋_GB2312" w:hAnsi="黑体" w:cs="仿宋"/>
          <w:szCs w:val="30"/>
        </w:rPr>
        <w:t>（三）存在的问题及原因分析</w:t>
      </w:r>
      <w:bookmarkEnd w:id="12"/>
      <w:bookmarkEnd w:id="13"/>
    </w:p>
    <w:p>
      <w:pPr>
        <w:spacing w:line="360" w:lineRule="auto"/>
        <w:ind w:firstLine="600" w:firstLineChars="200"/>
        <w:rPr>
          <w:rFonts w:ascii="仿宋_GB2312" w:hAnsi="黑体" w:cs="仿宋"/>
          <w:szCs w:val="30"/>
        </w:rPr>
      </w:pPr>
      <w:r>
        <w:rPr>
          <w:rFonts w:hint="eastAsia" w:ascii="仿宋_GB2312" w:hAnsi="黑体" w:cs="仿宋"/>
          <w:szCs w:val="30"/>
        </w:rPr>
        <w:t>1.存在的问题：</w:t>
      </w:r>
    </w:p>
    <w:p>
      <w:pPr>
        <w:spacing w:line="360" w:lineRule="auto"/>
        <w:ind w:firstLine="600" w:firstLineChars="200"/>
        <w:rPr>
          <w:rFonts w:ascii="仿宋_GB2312" w:hAnsi="黑体" w:cs="仿宋"/>
          <w:szCs w:val="30"/>
        </w:rPr>
      </w:pPr>
      <w:r>
        <w:rPr>
          <w:rFonts w:hint="eastAsia" w:ascii="仿宋_GB2312" w:hAnsi="黑体" w:cs="仿宋"/>
          <w:szCs w:val="30"/>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pPr>
        <w:spacing w:line="360" w:lineRule="auto"/>
        <w:ind w:firstLine="600" w:firstLineChars="200"/>
        <w:rPr>
          <w:rFonts w:ascii="仿宋_GB2312" w:hAnsi="黑体" w:cs="仿宋"/>
          <w:szCs w:val="30"/>
        </w:rPr>
      </w:pPr>
      <w:r>
        <w:rPr>
          <w:rFonts w:hint="eastAsia" w:ascii="仿宋_GB2312" w:hAnsi="黑体" w:cs="仿宋"/>
          <w:szCs w:val="30"/>
        </w:rPr>
        <w:t>2.改进措施：</w:t>
      </w:r>
    </w:p>
    <w:p>
      <w:pPr>
        <w:spacing w:line="360" w:lineRule="auto"/>
        <w:ind w:firstLine="600" w:firstLineChars="200"/>
        <w:rPr>
          <w:rFonts w:ascii="仿宋_GB2312" w:hAnsi="黑体" w:cs="仿宋"/>
          <w:szCs w:val="30"/>
        </w:rPr>
      </w:pPr>
      <w:r>
        <w:rPr>
          <w:rFonts w:hint="eastAsia" w:ascii="仿宋_GB2312" w:hAnsi="黑体" w:cs="仿宋"/>
          <w:szCs w:val="30"/>
        </w:rPr>
        <w:t>（1）科学编制预算，提高预算与目标匹配度</w:t>
      </w:r>
    </w:p>
    <w:p>
      <w:pPr>
        <w:spacing w:line="360" w:lineRule="auto"/>
        <w:ind w:firstLine="600" w:firstLineChars="200"/>
        <w:rPr>
          <w:rFonts w:ascii="仿宋_GB2312" w:hAnsi="黑体" w:cs="仿宋"/>
          <w:szCs w:val="30"/>
        </w:rPr>
      </w:pPr>
      <w:r>
        <w:rPr>
          <w:rFonts w:hint="eastAsia" w:ascii="仿宋_GB2312" w:hAnsi="黑体" w:cs="仿宋"/>
          <w:szCs w:val="30"/>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pPr>
        <w:spacing w:line="360" w:lineRule="auto"/>
        <w:ind w:firstLine="600" w:firstLineChars="200"/>
        <w:rPr>
          <w:rFonts w:ascii="仿宋_GB2312" w:hAnsi="黑体" w:cs="仿宋"/>
          <w:szCs w:val="30"/>
        </w:rPr>
      </w:pPr>
      <w:r>
        <w:rPr>
          <w:rFonts w:hint="eastAsia" w:ascii="仿宋_GB2312" w:hAnsi="黑体" w:cs="仿宋"/>
          <w:szCs w:val="30"/>
        </w:rPr>
        <w:t>对此，预算单位会同财政部门共同梳理项目绩效目标，合理测算项目工作量，科学编制预算。</w:t>
      </w:r>
    </w:p>
    <w:p>
      <w:pPr>
        <w:keepNext/>
        <w:keepLines/>
        <w:spacing w:before="340" w:after="330" w:line="360" w:lineRule="auto"/>
        <w:outlineLvl w:val="0"/>
        <w:rPr>
          <w:rFonts w:ascii="仿宋_GB2312" w:hAnsi="黑体" w:cs="仿宋"/>
          <w:b/>
          <w:bCs/>
          <w:szCs w:val="30"/>
        </w:rPr>
      </w:pPr>
      <w:bookmarkStart w:id="14" w:name="_Toc26593"/>
      <w:bookmarkStart w:id="15" w:name="_Toc68703845"/>
      <w:bookmarkStart w:id="16" w:name="_Toc5497"/>
      <w:r>
        <w:rPr>
          <w:rFonts w:hint="eastAsia" w:ascii="仿宋_GB2312" w:hAnsi="黑体" w:cs="仿宋"/>
          <w:b/>
          <w:bCs/>
          <w:szCs w:val="30"/>
        </w:rPr>
        <w:t>七、有关建议</w:t>
      </w:r>
      <w:bookmarkEnd w:id="14"/>
      <w:bookmarkEnd w:id="15"/>
      <w:bookmarkEnd w:id="16"/>
    </w:p>
    <w:p>
      <w:pPr>
        <w:spacing w:line="360" w:lineRule="auto"/>
        <w:ind w:firstLine="600" w:firstLineChars="200"/>
        <w:rPr>
          <w:rFonts w:ascii="仿宋_GB2312" w:hAnsi="黑体" w:cs="仿宋"/>
          <w:szCs w:val="30"/>
        </w:rPr>
      </w:pPr>
      <w:r>
        <w:rPr>
          <w:rFonts w:hint="eastAsia" w:ascii="仿宋_GB2312" w:hAnsi="黑体" w:cs="仿宋"/>
          <w:szCs w:val="30"/>
        </w:rPr>
        <w:t>1.开展进度的跟踪，确保项目绩效目标的完成。规范程序，严格把关。进一步完善项目申报、审核、公示、审批等程序，严格审核切实做好项目信息公开，公开内容要及时、完整、真实，确保项目公平、公开、公正。</w:t>
      </w:r>
    </w:p>
    <w:p>
      <w:pPr>
        <w:spacing w:line="360" w:lineRule="auto"/>
        <w:ind w:firstLine="600" w:firstLineChars="200"/>
        <w:rPr>
          <w:rFonts w:ascii="仿宋_GB2312" w:hAnsi="黑体" w:cs="仿宋"/>
          <w:szCs w:val="30"/>
        </w:rPr>
      </w:pPr>
      <w:r>
        <w:rPr>
          <w:rFonts w:hint="eastAsia" w:ascii="仿宋_GB2312" w:hAnsi="黑体" w:cs="仿宋"/>
          <w:szCs w:val="30"/>
        </w:rPr>
        <w:t>2.健全制度，加强督促。针对项目实施中存在的问题，进一步完善相关制度，加强督促检查，确保质量安全和建设进度；同时及时完善资料，妥善保管档案。</w:t>
      </w:r>
    </w:p>
    <w:p>
      <w:pPr>
        <w:spacing w:line="360" w:lineRule="auto"/>
        <w:rPr>
          <w:rFonts w:ascii="仿宋_GB2312" w:hAnsi="黑体" w:cs="仿宋"/>
          <w:szCs w:val="30"/>
        </w:rPr>
      </w:pPr>
    </w:p>
    <w:p>
      <w:pPr>
        <w:keepNext/>
        <w:keepLines/>
        <w:spacing w:before="340" w:after="330" w:line="360" w:lineRule="auto"/>
        <w:outlineLvl w:val="0"/>
        <w:rPr>
          <w:rFonts w:ascii="仿宋_GB2312" w:hAnsi="黑体" w:cs="仿宋"/>
          <w:b/>
          <w:bCs/>
          <w:szCs w:val="30"/>
        </w:rPr>
      </w:pPr>
      <w:bookmarkStart w:id="17" w:name="_Toc12628"/>
      <w:bookmarkStart w:id="18" w:name="_Toc68703846"/>
      <w:bookmarkStart w:id="19" w:name="_Toc11577"/>
      <w:r>
        <w:rPr>
          <w:rFonts w:hint="eastAsia" w:ascii="仿宋_GB2312" w:hAnsi="黑体" w:cs="仿宋"/>
          <w:b/>
          <w:bCs/>
          <w:szCs w:val="30"/>
        </w:rPr>
        <w:t>八、其他需要说明的问题</w:t>
      </w:r>
      <w:bookmarkEnd w:id="17"/>
      <w:bookmarkEnd w:id="18"/>
      <w:bookmarkEnd w:id="19"/>
    </w:p>
    <w:p>
      <w:pPr>
        <w:numPr>
          <w:ilvl w:val="0"/>
          <w:numId w:val="3"/>
        </w:numPr>
        <w:spacing w:line="360" w:lineRule="auto"/>
        <w:ind w:firstLine="600" w:firstLineChars="200"/>
        <w:jc w:val="left"/>
        <w:rPr>
          <w:rFonts w:ascii="仿宋_GB2312" w:hAnsi="黑体" w:cs="仿宋"/>
          <w:szCs w:val="30"/>
        </w:rPr>
      </w:pPr>
      <w:r>
        <w:rPr>
          <w:rFonts w:hint="eastAsia" w:ascii="仿宋_GB2312" w:hAnsi="黑体" w:cs="仿宋"/>
          <w:szCs w:val="30"/>
        </w:rPr>
        <w:t>本项目部分间接产生的效果无法准确在短期内衡量，因此很难认定项目产生的全部效果。通过指标来反映绩效，指标的科学性和全面性需要不断地完善和研究。</w:t>
      </w:r>
    </w:p>
    <w:p>
      <w:pPr>
        <w:numPr>
          <w:ilvl w:val="0"/>
          <w:numId w:val="3"/>
        </w:numPr>
        <w:spacing w:line="360" w:lineRule="auto"/>
        <w:ind w:firstLine="600" w:firstLineChars="200"/>
        <w:jc w:val="left"/>
        <w:rPr>
          <w:rFonts w:ascii="仿宋_GB2312" w:hAnsi="黑体" w:cs="仿宋"/>
          <w:szCs w:val="30"/>
        </w:rPr>
      </w:pPr>
      <w:r>
        <w:rPr>
          <w:rFonts w:hint="eastAsia" w:ascii="仿宋_GB2312" w:hAnsi="黑体" w:cs="仿宋"/>
          <w:szCs w:val="30"/>
        </w:rPr>
        <w:t>我单位对上述项目支出绩效评价报告内反应的真实性、完整性负责，接收上级部门及社会公众监督。</w:t>
      </w: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cs="仿宋"/>
          <w:szCs w:val="30"/>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sectPr>
          <w:footerReference r:id="rId3" w:type="default"/>
          <w:pgSz w:w="11906" w:h="16838"/>
          <w:pgMar w:top="1928" w:right="1531" w:bottom="1701" w:left="1531" w:header="737" w:footer="851" w:gutter="0"/>
          <w:cols w:space="720" w:num="1"/>
          <w:docGrid w:type="lines" w:linePitch="408" w:charSpace="0"/>
        </w:sectPr>
      </w:pPr>
    </w:p>
    <w:p>
      <w:pPr>
        <w:jc w:val="center"/>
        <w:rPr>
          <w:b/>
          <w:bCs/>
        </w:rPr>
      </w:pPr>
      <w:r>
        <w:rPr>
          <w:rFonts w:hint="eastAsia"/>
          <w:b/>
          <w:bCs/>
        </w:rPr>
        <w:t>项目支出绩效评价指标体系框架（参考）</w:t>
      </w:r>
    </w:p>
    <w:p>
      <w:pPr>
        <w:rPr>
          <w:b/>
          <w:bCs/>
        </w:rPr>
      </w:pPr>
    </w:p>
    <w:tbl>
      <w:tblPr>
        <w:tblStyle w:val="9"/>
        <w:tblW w:w="1572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rPr>
            </w:pPr>
            <w:r>
              <w:rPr>
                <w:rFonts w:hint="eastAsia"/>
                <w:b/>
                <w:bCs/>
                <w:sz w:val="24"/>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rPr>
            </w:pPr>
            <w:r>
              <w:rPr>
                <w:rFonts w:hint="eastAsia"/>
                <w:b/>
                <w:bCs/>
                <w:sz w:val="24"/>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rPr>
            </w:pPr>
            <w:r>
              <w:rPr>
                <w:rFonts w:hint="eastAsia"/>
                <w:b/>
                <w:bCs/>
                <w:sz w:val="24"/>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rPr>
            </w:pPr>
            <w:r>
              <w:rPr>
                <w:rFonts w:hint="eastAsia"/>
                <w:b/>
                <w:bCs/>
                <w:sz w:val="24"/>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rPr>
            </w:pPr>
            <w:r>
              <w:rPr>
                <w:rFonts w:hint="eastAsia"/>
                <w:b/>
                <w:bCs/>
                <w:sz w:val="24"/>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rPr>
            </w:pPr>
            <w:r>
              <w:rPr>
                <w:rFonts w:hint="eastAsia"/>
                <w:b/>
                <w:bCs/>
                <w:sz w:val="24"/>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rPr>
            </w:pPr>
            <w:r>
              <w:rPr>
                <w:rFonts w:hint="eastAsia"/>
                <w:b/>
                <w:bCs/>
                <w:sz w:val="24"/>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决策　</w:t>
            </w:r>
          </w:p>
          <w:p>
            <w:pPr>
              <w:rPr>
                <w:sz w:val="24"/>
              </w:rPr>
            </w:pPr>
            <w:r>
              <w:rPr>
                <w:rFonts w:hint="eastAsia"/>
                <w:sz w:val="24"/>
              </w:rPr>
              <w:t>　</w:t>
            </w:r>
          </w:p>
          <w:p>
            <w:pPr>
              <w:rPr>
                <w:sz w:val="24"/>
              </w:rPr>
            </w:pPr>
            <w:r>
              <w:rPr>
                <w:rFonts w:hint="eastAsia"/>
                <w:sz w:val="24"/>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立项依据</w:t>
            </w:r>
          </w:p>
          <w:p>
            <w:pPr>
              <w:rPr>
                <w:sz w:val="24"/>
              </w:rPr>
            </w:pPr>
            <w:r>
              <w:rPr>
                <w:rFonts w:hint="eastAsia"/>
                <w:sz w:val="24"/>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sz w:val="24"/>
              </w:rPr>
            </w:pPr>
            <w:r>
              <w:rPr>
                <w:rFonts w:hint="eastAsia"/>
                <w:sz w:val="24"/>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①项目立项是否符合国家法律法规、国民经济发展规划和相关政策；</w:t>
            </w:r>
            <w:r>
              <w:rPr>
                <w:rFonts w:hint="eastAsia"/>
                <w:sz w:val="24"/>
              </w:rPr>
              <w:br w:type="textWrapping"/>
            </w:r>
            <w:r>
              <w:rPr>
                <w:rFonts w:hint="eastAsia"/>
                <w:sz w:val="24"/>
              </w:rPr>
              <w:t>②项目立项是否符合行业发展规划和政策要求；</w:t>
            </w:r>
            <w:r>
              <w:rPr>
                <w:rFonts w:hint="eastAsia"/>
                <w:sz w:val="24"/>
              </w:rPr>
              <w:br w:type="textWrapping"/>
            </w:r>
            <w:r>
              <w:rPr>
                <w:rFonts w:hint="eastAsia"/>
                <w:sz w:val="24"/>
              </w:rPr>
              <w:t>③项目立项是否与部门职责范围相符，属于部门履职所需；</w:t>
            </w:r>
            <w:r>
              <w:rPr>
                <w:rFonts w:hint="eastAsia"/>
                <w:sz w:val="24"/>
              </w:rPr>
              <w:br w:type="textWrapping"/>
            </w:r>
            <w:r>
              <w:rPr>
                <w:rFonts w:hint="eastAsia"/>
                <w:sz w:val="24"/>
              </w:rPr>
              <w:t>④项目是否属于公共财政支持范围，是否符合中央、地方事权支出责任划分原则；</w:t>
            </w:r>
            <w:r>
              <w:rPr>
                <w:rFonts w:hint="eastAsia"/>
                <w:sz w:val="24"/>
              </w:rPr>
              <w:br w:type="textWrapping"/>
            </w:r>
            <w:r>
              <w:rPr>
                <w:rFonts w:hint="eastAsia"/>
                <w:sz w:val="24"/>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立项程序</w:t>
            </w:r>
          </w:p>
          <w:p>
            <w:pPr>
              <w:rPr>
                <w:sz w:val="24"/>
              </w:rPr>
            </w:pPr>
            <w:r>
              <w:rPr>
                <w:rFonts w:hint="eastAsia"/>
                <w:sz w:val="24"/>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①项目是否按照规定的程序申请设立；</w:t>
            </w:r>
            <w:r>
              <w:rPr>
                <w:rFonts w:hint="eastAsia"/>
                <w:sz w:val="24"/>
              </w:rPr>
              <w:br w:type="textWrapping"/>
            </w:r>
            <w:r>
              <w:rPr>
                <w:rFonts w:hint="eastAsia"/>
                <w:sz w:val="24"/>
              </w:rPr>
              <w:t>②审批文件、材料是否符合相关要求；</w:t>
            </w:r>
            <w:r>
              <w:rPr>
                <w:rFonts w:hint="eastAsia"/>
                <w:sz w:val="24"/>
              </w:rPr>
              <w:br w:type="textWrapping"/>
            </w:r>
            <w:r>
              <w:rPr>
                <w:rFonts w:hint="eastAsia"/>
                <w:sz w:val="24"/>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绩效目标</w:t>
            </w:r>
          </w:p>
          <w:p>
            <w:pPr>
              <w:rPr>
                <w:sz w:val="24"/>
              </w:rPr>
            </w:pPr>
            <w:r>
              <w:rPr>
                <w:rFonts w:hint="eastAsia"/>
                <w:sz w:val="24"/>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（如未设定预算绩效目标，也可考核其他工作任务目标）</w:t>
            </w:r>
            <w:r>
              <w:rPr>
                <w:rFonts w:hint="eastAsia"/>
                <w:sz w:val="24"/>
              </w:rPr>
              <w:br w:type="textWrapping"/>
            </w:r>
            <w:r>
              <w:rPr>
                <w:rFonts w:hint="eastAsia"/>
                <w:sz w:val="24"/>
              </w:rPr>
              <w:t>①项目是否有绩效目标；</w:t>
            </w:r>
            <w:r>
              <w:rPr>
                <w:rFonts w:hint="eastAsia"/>
                <w:sz w:val="24"/>
              </w:rPr>
              <w:br w:type="textWrapping"/>
            </w:r>
            <w:r>
              <w:rPr>
                <w:rFonts w:hint="eastAsia"/>
                <w:sz w:val="24"/>
              </w:rPr>
              <w:t>②项目绩效目标与实际工作内容是否具有相关性；</w:t>
            </w:r>
            <w:r>
              <w:rPr>
                <w:rFonts w:hint="eastAsia"/>
                <w:sz w:val="24"/>
              </w:rPr>
              <w:br w:type="textWrapping"/>
            </w:r>
            <w:r>
              <w:rPr>
                <w:rFonts w:hint="eastAsia"/>
                <w:sz w:val="24"/>
              </w:rPr>
              <w:t>③项目预期产出效益和效果是否符合正常的业绩水平；</w:t>
            </w:r>
          </w:p>
          <w:p>
            <w:pPr>
              <w:rPr>
                <w:sz w:val="24"/>
              </w:rPr>
            </w:pPr>
            <w:r>
              <w:rPr>
                <w:rFonts w:hint="eastAsia"/>
                <w:sz w:val="24"/>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绩效指标</w:t>
            </w:r>
          </w:p>
          <w:p>
            <w:pPr>
              <w:rPr>
                <w:sz w:val="24"/>
              </w:rPr>
            </w:pPr>
            <w:r>
              <w:rPr>
                <w:rFonts w:hint="eastAsia"/>
                <w:sz w:val="24"/>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①是否将项目绩效目标细化分解为具体的绩效指标；</w:t>
            </w:r>
            <w:r>
              <w:rPr>
                <w:rFonts w:hint="eastAsia"/>
                <w:sz w:val="24"/>
              </w:rPr>
              <w:br w:type="textWrapping"/>
            </w:r>
            <w:r>
              <w:rPr>
                <w:rFonts w:hint="eastAsia"/>
                <w:sz w:val="24"/>
              </w:rPr>
              <w:t>②是否通过清晰、可衡量的指标值予以体现；</w:t>
            </w:r>
            <w:r>
              <w:rPr>
                <w:rFonts w:hint="eastAsia"/>
                <w:sz w:val="24"/>
              </w:rPr>
              <w:br w:type="textWrapping"/>
            </w:r>
            <w:r>
              <w:rPr>
                <w:rFonts w:hint="eastAsia"/>
                <w:sz w:val="24"/>
              </w:rPr>
              <w:t>③是否与项目目标任务数或计划数相对应。</w:t>
            </w:r>
            <w:r>
              <w:rPr>
                <w:rFonts w:hint="eastAsia"/>
                <w:sz w:val="24"/>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资金投入</w:t>
            </w:r>
          </w:p>
          <w:p>
            <w:pPr>
              <w:rPr>
                <w:sz w:val="24"/>
              </w:rPr>
            </w:pPr>
            <w:r>
              <w:rPr>
                <w:rFonts w:hint="eastAsia"/>
                <w:sz w:val="24"/>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预算编制</w:t>
            </w:r>
          </w:p>
          <w:p>
            <w:pPr>
              <w:rPr>
                <w:sz w:val="24"/>
              </w:rPr>
            </w:pPr>
            <w:r>
              <w:rPr>
                <w:rFonts w:hint="eastAsia"/>
                <w:sz w:val="24"/>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①预算编制是否经过科学论证；</w:t>
            </w:r>
            <w:r>
              <w:rPr>
                <w:rFonts w:hint="eastAsia"/>
                <w:sz w:val="24"/>
              </w:rPr>
              <w:br w:type="textWrapping"/>
            </w:r>
            <w:r>
              <w:rPr>
                <w:rFonts w:hint="eastAsia"/>
                <w:sz w:val="24"/>
              </w:rPr>
              <w:t>②预算内容与项目内容是否匹配；</w:t>
            </w:r>
            <w:r>
              <w:rPr>
                <w:rFonts w:hint="eastAsia"/>
                <w:sz w:val="24"/>
              </w:rPr>
              <w:br w:type="textWrapping"/>
            </w:r>
            <w:r>
              <w:rPr>
                <w:rFonts w:hint="eastAsia"/>
                <w:sz w:val="24"/>
              </w:rPr>
              <w:t>③预算额度测算依据是否充分，是否按照标准编制；</w:t>
            </w:r>
            <w:r>
              <w:rPr>
                <w:rFonts w:hint="eastAsia"/>
                <w:sz w:val="24"/>
              </w:rPr>
              <w:br w:type="textWrapping"/>
            </w:r>
            <w:r>
              <w:rPr>
                <w:rFonts w:hint="eastAsia"/>
                <w:sz w:val="24"/>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资金分配</w:t>
            </w:r>
          </w:p>
          <w:p>
            <w:pPr>
              <w:rPr>
                <w:sz w:val="24"/>
              </w:rPr>
            </w:pPr>
            <w:r>
              <w:rPr>
                <w:rFonts w:hint="eastAsia"/>
                <w:sz w:val="24"/>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①预算资金分配依据是否充分；</w:t>
            </w:r>
            <w:r>
              <w:rPr>
                <w:rFonts w:hint="eastAsia"/>
                <w:sz w:val="24"/>
              </w:rPr>
              <w:br w:type="textWrapping"/>
            </w:r>
            <w:r>
              <w:rPr>
                <w:rFonts w:hint="eastAsia"/>
                <w:sz w:val="24"/>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资金到位率=（实际到位资金/预算资金）×100%。</w:t>
            </w:r>
          </w:p>
          <w:p>
            <w:pPr>
              <w:rPr>
                <w:sz w:val="24"/>
              </w:rPr>
            </w:pPr>
            <w:r>
              <w:rPr>
                <w:rFonts w:hint="eastAsia"/>
                <w:sz w:val="24"/>
              </w:rPr>
              <w:t>实际到位资金：一定时期（本年度或项目期）内落实到具体项目的资金。</w:t>
            </w:r>
          </w:p>
          <w:p>
            <w:pPr>
              <w:rPr>
                <w:sz w:val="24"/>
              </w:rPr>
            </w:pPr>
            <w:r>
              <w:rPr>
                <w:rFonts w:hint="eastAsia"/>
                <w:sz w:val="24"/>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预算执行率=（实际支出资金/实际到位资金）×100%。</w:t>
            </w:r>
            <w:r>
              <w:rPr>
                <w:rFonts w:hint="eastAsia"/>
                <w:sz w:val="24"/>
              </w:rPr>
              <w:br w:type="textWrapping"/>
            </w:r>
            <w:r>
              <w:rPr>
                <w:rFonts w:hint="eastAsia"/>
                <w:sz w:val="24"/>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　</w:t>
            </w:r>
          </w:p>
          <w:p>
            <w:pPr>
              <w:rPr>
                <w:sz w:val="24"/>
              </w:rPr>
            </w:pPr>
            <w:r>
              <w:rPr>
                <w:rFonts w:hint="eastAsia"/>
                <w:sz w:val="24"/>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资金使用</w:t>
            </w:r>
          </w:p>
          <w:p>
            <w:pPr>
              <w:rPr>
                <w:sz w:val="24"/>
              </w:rPr>
            </w:pPr>
            <w:r>
              <w:rPr>
                <w:rFonts w:hint="eastAsia"/>
                <w:sz w:val="24"/>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①是否符合国家财经法规和财务管理制度以及有关专项资金管理办法的规定；</w:t>
            </w:r>
            <w:r>
              <w:rPr>
                <w:rFonts w:hint="eastAsia"/>
                <w:sz w:val="24"/>
              </w:rPr>
              <w:br w:type="textWrapping"/>
            </w:r>
            <w:r>
              <w:rPr>
                <w:rFonts w:hint="eastAsia"/>
                <w:sz w:val="24"/>
              </w:rPr>
              <w:t>②资金的拨付是否有完整的审批程序和手续；</w:t>
            </w:r>
            <w:r>
              <w:rPr>
                <w:rFonts w:hint="eastAsia"/>
                <w:sz w:val="24"/>
              </w:rPr>
              <w:br w:type="textWrapping"/>
            </w:r>
            <w:r>
              <w:rPr>
                <w:rFonts w:hint="eastAsia"/>
                <w:sz w:val="24"/>
              </w:rPr>
              <w:t>③是否符合项目预算批复或合同规定的用途；</w:t>
            </w:r>
            <w:r>
              <w:rPr>
                <w:rFonts w:hint="eastAsia"/>
                <w:sz w:val="24"/>
              </w:rPr>
              <w:br w:type="textWrapping"/>
            </w:r>
            <w:r>
              <w:rPr>
                <w:rFonts w:hint="eastAsia"/>
                <w:sz w:val="24"/>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组织实施</w:t>
            </w:r>
          </w:p>
          <w:p>
            <w:pPr>
              <w:rPr>
                <w:sz w:val="24"/>
              </w:rPr>
            </w:pPr>
            <w:r>
              <w:rPr>
                <w:rFonts w:hint="eastAsia"/>
                <w:sz w:val="24"/>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管理制度</w:t>
            </w:r>
          </w:p>
          <w:p>
            <w:pPr>
              <w:rPr>
                <w:sz w:val="24"/>
              </w:rPr>
            </w:pPr>
            <w:r>
              <w:rPr>
                <w:rFonts w:hint="eastAsia"/>
                <w:sz w:val="24"/>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①是否已制定或具有相应的财务和业务管理制度；</w:t>
            </w:r>
            <w:r>
              <w:rPr>
                <w:rFonts w:hint="eastAsia"/>
                <w:sz w:val="24"/>
              </w:rPr>
              <w:br w:type="textWrapping"/>
            </w:r>
            <w:r>
              <w:rPr>
                <w:rFonts w:hint="eastAsia"/>
                <w:sz w:val="24"/>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制度执行</w:t>
            </w:r>
          </w:p>
          <w:p>
            <w:pPr>
              <w:rPr>
                <w:sz w:val="24"/>
              </w:rPr>
            </w:pPr>
            <w:r>
              <w:rPr>
                <w:rFonts w:hint="eastAsia"/>
                <w:sz w:val="24"/>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①是否遵守相关法律法规和相关管理规定；</w:t>
            </w:r>
            <w:r>
              <w:rPr>
                <w:rFonts w:hint="eastAsia"/>
                <w:sz w:val="24"/>
              </w:rPr>
              <w:br w:type="textWrapping"/>
            </w:r>
            <w:r>
              <w:rPr>
                <w:rFonts w:hint="eastAsia"/>
                <w:sz w:val="24"/>
              </w:rPr>
              <w:t>②项目调整及支出调整手续是否完备；</w:t>
            </w:r>
            <w:r>
              <w:rPr>
                <w:rFonts w:hint="eastAsia"/>
                <w:sz w:val="24"/>
              </w:rPr>
              <w:br w:type="textWrapping"/>
            </w:r>
            <w:r>
              <w:rPr>
                <w:rFonts w:hint="eastAsia"/>
                <w:sz w:val="24"/>
              </w:rPr>
              <w:t>③项目合同书、验收报告、技术鉴定等资料是否齐全并及时归档；</w:t>
            </w:r>
            <w:r>
              <w:rPr>
                <w:rFonts w:hint="eastAsia"/>
                <w:sz w:val="24"/>
              </w:rPr>
              <w:br w:type="textWrapping"/>
            </w:r>
            <w:r>
              <w:rPr>
                <w:rFonts w:hint="eastAsia"/>
                <w:sz w:val="24"/>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实际完成率=（实际产出数/计划产出数）×100%。</w:t>
            </w:r>
            <w:r>
              <w:rPr>
                <w:rFonts w:hint="eastAsia"/>
                <w:sz w:val="24"/>
              </w:rPr>
              <w:br w:type="textWrapping"/>
            </w:r>
            <w:r>
              <w:rPr>
                <w:rFonts w:hint="eastAsia"/>
                <w:sz w:val="24"/>
              </w:rPr>
              <w:t>实际产出数：一定时期（本年度或项目期）内项目实际产出的产品或提供的服务数量。</w:t>
            </w:r>
            <w:r>
              <w:rPr>
                <w:rFonts w:hint="eastAsia"/>
                <w:sz w:val="24"/>
              </w:rPr>
              <w:br w:type="textWrapping"/>
            </w:r>
            <w:r>
              <w:rPr>
                <w:rFonts w:hint="eastAsia"/>
                <w:sz w:val="24"/>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质量达标率=（质量达标产出数/实际产出数）×100%。</w:t>
            </w:r>
          </w:p>
          <w:p>
            <w:pPr>
              <w:rPr>
                <w:sz w:val="24"/>
              </w:rPr>
            </w:pPr>
            <w:r>
              <w:rPr>
                <w:rFonts w:hint="eastAsia"/>
                <w:sz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实际完成时间：项目实施单位完成该项目实际所耗用的时间。</w:t>
            </w:r>
            <w:r>
              <w:rPr>
                <w:rFonts w:hint="eastAsia"/>
                <w:sz w:val="24"/>
              </w:rPr>
              <w:br w:type="textWrapping"/>
            </w:r>
            <w:r>
              <w:rPr>
                <w:rFonts w:hint="eastAsia"/>
                <w:sz w:val="24"/>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br w:type="textWrapping"/>
            </w:r>
            <w:r>
              <w:rPr>
                <w:rFonts w:hint="eastAsia"/>
                <w:sz w:val="24"/>
              </w:rPr>
              <w:t>成本节约率=[（计划成本-实际成本）/计划成本]×100%。</w:t>
            </w:r>
            <w:r>
              <w:rPr>
                <w:rFonts w:hint="eastAsia"/>
                <w:sz w:val="24"/>
              </w:rPr>
              <w:br w:type="textWrapping"/>
            </w:r>
            <w:r>
              <w:rPr>
                <w:rFonts w:hint="eastAsia"/>
                <w:sz w:val="24"/>
              </w:rPr>
              <w:t>实际成本：项目实施单位如期、保质、保量完成既定工作目标实际所耗费的支出。</w:t>
            </w:r>
            <w:r>
              <w:rPr>
                <w:rFonts w:hint="eastAsia"/>
                <w:sz w:val="24"/>
              </w:rPr>
              <w:br w:type="textWrapping"/>
            </w:r>
            <w:r>
              <w:rPr>
                <w:rFonts w:hint="eastAsia"/>
                <w:sz w:val="24"/>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项目实施所产生的社会效益、经济效益、生态效益、可持续影响等。可根据项目实际情况有选择地设置和细化。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9</w:t>
            </w:r>
          </w:p>
        </w:tc>
      </w:tr>
    </w:tbl>
    <w:p/>
    <w:p/>
    <w:p/>
    <w:tbl>
      <w:tblPr>
        <w:tblStyle w:val="9"/>
        <w:tblW w:w="10820" w:type="dxa"/>
        <w:jc w:val="center"/>
        <w:tblInd w:w="0" w:type="dxa"/>
        <w:tblLayout w:type="fixed"/>
        <w:tblCellMar>
          <w:top w:w="0" w:type="dxa"/>
          <w:left w:w="0" w:type="dxa"/>
          <w:bottom w:w="0" w:type="dxa"/>
          <w:right w:w="0" w:type="dxa"/>
        </w:tblCellMar>
      </w:tblPr>
      <w:tblGrid>
        <w:gridCol w:w="1180"/>
        <w:gridCol w:w="2100"/>
        <w:gridCol w:w="2140"/>
        <w:gridCol w:w="2160"/>
        <w:gridCol w:w="1620"/>
        <w:gridCol w:w="1620"/>
      </w:tblGrid>
      <w:tr>
        <w:tblPrEx>
          <w:tblLayout w:type="fixed"/>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rPr>
            </w:pPr>
            <w:r>
              <w:rPr>
                <w:rFonts w:hint="eastAsia" w:ascii="仿宋_GB2312" w:hAnsi="黑体"/>
                <w:sz w:val="24"/>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rPr>
            </w:pPr>
            <w:r>
              <w:rPr>
                <w:rFonts w:hint="eastAsia" w:ascii="仿宋_GB2312" w:hAnsi="黑体"/>
                <w:sz w:val="24"/>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rPr>
            </w:pPr>
            <w:r>
              <w:rPr>
                <w:rFonts w:hint="eastAsia" w:ascii="仿宋_GB2312" w:hAnsi="黑体"/>
                <w:sz w:val="24"/>
              </w:rPr>
              <w:t>项目产出</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ascii="仿宋_GB2312" w:hAnsi="黑体"/>
                <w:sz w:val="24"/>
              </w:rPr>
            </w:pPr>
            <w:r>
              <w:rPr>
                <w:rFonts w:hint="eastAsia" w:ascii="仿宋_GB2312" w:hAnsi="黑体"/>
                <w:sz w:val="24"/>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合计分值</w:t>
            </w:r>
          </w:p>
        </w:tc>
      </w:tr>
      <w:tr>
        <w:tblPrEx>
          <w:tblLayout w:type="fixed"/>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ascii="仿宋_GB2312" w:hAnsi="黑体"/>
                <w:sz w:val="24"/>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rPr>
            </w:pPr>
            <w:r>
              <w:rPr>
                <w:rFonts w:ascii="仿宋_GB2312" w:hAnsi="黑体"/>
                <w:sz w:val="24"/>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rPr>
            </w:pPr>
            <w:r>
              <w:rPr>
                <w:rFonts w:hint="eastAsia" w:ascii="仿宋_GB2312" w:hAnsi="黑体"/>
                <w:sz w:val="24"/>
              </w:rPr>
              <w:t>100</w:t>
            </w:r>
          </w:p>
        </w:tc>
      </w:tr>
      <w:tr>
        <w:tblPrEx>
          <w:tblLayout w:type="fixed"/>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hint="eastAsia"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hint="eastAsia"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hint="eastAsia" w:ascii="仿宋_GB2312" w:hAnsi="黑体"/>
                <w:sz w:val="24"/>
              </w:rPr>
              <w:t>43</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rPr>
            </w:pPr>
            <w:r>
              <w:rPr>
                <w:rFonts w:hint="eastAsia" w:ascii="仿宋_GB2312" w:hAnsi="黑体"/>
                <w:sz w:val="24"/>
              </w:rPr>
              <w:t>18</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rPr>
            </w:pPr>
            <w:r>
              <w:rPr>
                <w:rFonts w:hint="eastAsia" w:ascii="仿宋_GB2312" w:hAnsi="黑体"/>
                <w:sz w:val="24"/>
              </w:rPr>
              <w:t>91</w:t>
            </w:r>
          </w:p>
        </w:tc>
      </w:tr>
    </w:tbl>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F2895"/>
    <w:multiLevelType w:val="singleLevel"/>
    <w:tmpl w:val="228F2895"/>
    <w:lvl w:ilvl="0" w:tentative="0">
      <w:start w:val="2"/>
      <w:numFmt w:val="chineseCounting"/>
      <w:suff w:val="nothing"/>
      <w:lvlText w:val="（%1）"/>
      <w:lvlJc w:val="left"/>
      <w:rPr>
        <w:rFonts w:hint="eastAsia"/>
      </w:rPr>
    </w:lvl>
  </w:abstractNum>
  <w:abstractNum w:abstractNumId="1">
    <w:nsid w:val="490BB0AD"/>
    <w:multiLevelType w:val="singleLevel"/>
    <w:tmpl w:val="490BB0AD"/>
    <w:lvl w:ilvl="0" w:tentative="0">
      <w:start w:val="1"/>
      <w:numFmt w:val="decimal"/>
      <w:lvlText w:val="%1."/>
      <w:lvlJc w:val="left"/>
      <w:pPr>
        <w:tabs>
          <w:tab w:val="left" w:pos="312"/>
        </w:tabs>
      </w:pPr>
    </w:lvl>
  </w:abstractNum>
  <w:abstractNum w:abstractNumId="2">
    <w:nsid w:val="7B425C79"/>
    <w:multiLevelType w:val="multilevel"/>
    <w:tmpl w:val="7B425C79"/>
    <w:lvl w:ilvl="0" w:tentative="0">
      <w:start w:val="1"/>
      <w:numFmt w:val="decimal"/>
      <w:lvlText w:val="%1"/>
      <w:lvlJc w:val="left"/>
      <w:pPr>
        <w:ind w:left="450" w:hanging="450"/>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2ZkMzgxMTA0MWE0OTlmMTFiNWIwMWQzMWI5MmEifQ=="/>
  </w:docVars>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3FC5"/>
    <w:rsid w:val="00876C03"/>
    <w:rsid w:val="008854CB"/>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94000"/>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03DB"/>
    <w:rsid w:val="00F5188E"/>
    <w:rsid w:val="00F53C0E"/>
    <w:rsid w:val="00F62863"/>
    <w:rsid w:val="00F8071D"/>
    <w:rsid w:val="00F80FBE"/>
    <w:rsid w:val="00F8774B"/>
    <w:rsid w:val="00FC0371"/>
    <w:rsid w:val="00FE2B25"/>
    <w:rsid w:val="00FE2DDB"/>
    <w:rsid w:val="0188664C"/>
    <w:rsid w:val="02A64E64"/>
    <w:rsid w:val="039A7CAF"/>
    <w:rsid w:val="03D40346"/>
    <w:rsid w:val="048055BA"/>
    <w:rsid w:val="071D146C"/>
    <w:rsid w:val="09147077"/>
    <w:rsid w:val="0B5A1ED7"/>
    <w:rsid w:val="0C6D6428"/>
    <w:rsid w:val="0D2B1105"/>
    <w:rsid w:val="0F8068D4"/>
    <w:rsid w:val="108233F1"/>
    <w:rsid w:val="12A27851"/>
    <w:rsid w:val="14620830"/>
    <w:rsid w:val="14F86038"/>
    <w:rsid w:val="15D9041A"/>
    <w:rsid w:val="16EF3AC8"/>
    <w:rsid w:val="188E75F7"/>
    <w:rsid w:val="1C6E443A"/>
    <w:rsid w:val="1CD045FC"/>
    <w:rsid w:val="1D4F1003"/>
    <w:rsid w:val="1E511C34"/>
    <w:rsid w:val="1F6E6595"/>
    <w:rsid w:val="22816122"/>
    <w:rsid w:val="28253690"/>
    <w:rsid w:val="2B455AAB"/>
    <w:rsid w:val="2C2B3B8D"/>
    <w:rsid w:val="2C4A1BC7"/>
    <w:rsid w:val="2D1B3AA3"/>
    <w:rsid w:val="2E807F37"/>
    <w:rsid w:val="2EFD1203"/>
    <w:rsid w:val="2F987092"/>
    <w:rsid w:val="3060057B"/>
    <w:rsid w:val="31F27767"/>
    <w:rsid w:val="34112C8B"/>
    <w:rsid w:val="39DD2370"/>
    <w:rsid w:val="3BA44787"/>
    <w:rsid w:val="3C11164F"/>
    <w:rsid w:val="3DAD6AEB"/>
    <w:rsid w:val="3FF608E9"/>
    <w:rsid w:val="40024D7D"/>
    <w:rsid w:val="42534FF7"/>
    <w:rsid w:val="42F12734"/>
    <w:rsid w:val="43A40440"/>
    <w:rsid w:val="44865243"/>
    <w:rsid w:val="47C40B28"/>
    <w:rsid w:val="493D70D8"/>
    <w:rsid w:val="4A1819E5"/>
    <w:rsid w:val="4A5B1412"/>
    <w:rsid w:val="4A5C598C"/>
    <w:rsid w:val="4AAE57BA"/>
    <w:rsid w:val="4AF2130F"/>
    <w:rsid w:val="4B435C02"/>
    <w:rsid w:val="4CEC7ECD"/>
    <w:rsid w:val="4D2E27FB"/>
    <w:rsid w:val="4DE7624B"/>
    <w:rsid w:val="4FC41A93"/>
    <w:rsid w:val="527D15B4"/>
    <w:rsid w:val="590D23B8"/>
    <w:rsid w:val="5B493004"/>
    <w:rsid w:val="606F1470"/>
    <w:rsid w:val="609756E6"/>
    <w:rsid w:val="61A73AD5"/>
    <w:rsid w:val="61E6050F"/>
    <w:rsid w:val="62344060"/>
    <w:rsid w:val="62B952F6"/>
    <w:rsid w:val="6477218E"/>
    <w:rsid w:val="64A12CD1"/>
    <w:rsid w:val="64A245A7"/>
    <w:rsid w:val="697A41BF"/>
    <w:rsid w:val="69C44DAE"/>
    <w:rsid w:val="6DE408B3"/>
    <w:rsid w:val="729B1F2F"/>
    <w:rsid w:val="73A31E01"/>
    <w:rsid w:val="74042AC2"/>
    <w:rsid w:val="74E91D04"/>
    <w:rsid w:val="755D07B9"/>
    <w:rsid w:val="791628F2"/>
    <w:rsid w:val="7B334DC5"/>
    <w:rsid w:val="7B3B229C"/>
    <w:rsid w:val="7B8B5232"/>
    <w:rsid w:val="7CE94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8"/>
    <w:qFormat/>
    <w:uiPriority w:val="0"/>
    <w:pPr>
      <w:snapToGrid w:val="0"/>
      <w:jc w:val="left"/>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styleId="11">
    <w:name w:val="Strong"/>
    <w:basedOn w:val="10"/>
    <w:qFormat/>
    <w:uiPriority w:val="0"/>
    <w:rPr>
      <w:b/>
      <w:bCs/>
    </w:rPr>
  </w:style>
  <w:style w:type="character" w:customStyle="1" w:styleId="12">
    <w:name w:val="页眉 字符"/>
    <w:basedOn w:val="10"/>
    <w:link w:val="6"/>
    <w:qFormat/>
    <w:uiPriority w:val="99"/>
    <w:rPr>
      <w:rFonts w:ascii="Times New Roman" w:hAnsi="Times New Roman" w:eastAsia="仿宋_GB2312" w:cs="Times New Roman"/>
      <w:sz w:val="18"/>
      <w:szCs w:val="18"/>
    </w:rPr>
  </w:style>
  <w:style w:type="character" w:customStyle="1" w:styleId="13">
    <w:name w:val="页脚 字符"/>
    <w:basedOn w:val="10"/>
    <w:link w:val="5"/>
    <w:qFormat/>
    <w:uiPriority w:val="99"/>
    <w:rPr>
      <w:rFonts w:ascii="Times New Roman" w:hAnsi="Times New Roman" w:eastAsia="仿宋_GB2312" w:cs="Times New Roman"/>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0"/>
    <w:link w:val="2"/>
    <w:qFormat/>
    <w:uiPriority w:val="9"/>
    <w:rPr>
      <w:rFonts w:ascii="Times New Roman" w:hAnsi="Times New Roman" w:eastAsia="仿宋_GB2312" w:cs="Times New Roman"/>
      <w:b/>
      <w:bCs/>
      <w:kern w:val="44"/>
      <w:sz w:val="44"/>
      <w:szCs w:val="44"/>
    </w:rPr>
  </w:style>
  <w:style w:type="character" w:customStyle="1" w:styleId="16">
    <w:name w:val="标题 2 字符"/>
    <w:basedOn w:val="10"/>
    <w:link w:val="3"/>
    <w:qFormat/>
    <w:uiPriority w:val="9"/>
    <w:rPr>
      <w:rFonts w:asciiTheme="majorHAnsi" w:hAnsiTheme="majorHAnsi" w:eastAsiaTheme="majorEastAsia" w:cstheme="majorBidi"/>
      <w:b/>
      <w:bCs/>
      <w:kern w:val="2"/>
      <w:sz w:val="32"/>
      <w:szCs w:val="32"/>
    </w:rPr>
  </w:style>
  <w:style w:type="character" w:customStyle="1" w:styleId="17">
    <w:name w:val="标题 3 字符"/>
    <w:basedOn w:val="10"/>
    <w:link w:val="4"/>
    <w:semiHidden/>
    <w:qFormat/>
    <w:uiPriority w:val="9"/>
    <w:rPr>
      <w:rFonts w:ascii="Times New Roman" w:hAnsi="Times New Roman" w:eastAsia="仿宋_GB2312" w:cs="Times New Roman"/>
      <w:b/>
      <w:bCs/>
      <w:kern w:val="2"/>
      <w:sz w:val="32"/>
      <w:szCs w:val="32"/>
    </w:rPr>
  </w:style>
  <w:style w:type="character" w:customStyle="1" w:styleId="18">
    <w:name w:val="脚注文本 字符"/>
    <w:basedOn w:val="10"/>
    <w:link w:val="7"/>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23</Pages>
  <Words>8575</Words>
  <Characters>8879</Characters>
  <Lines>66</Lines>
  <Paragraphs>18</Paragraphs>
  <TotalTime>2</TotalTime>
  <ScaleCrop>false</ScaleCrop>
  <LinksUpToDate>false</LinksUpToDate>
  <CharactersWithSpaces>8935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Administrator</cp:lastModifiedBy>
  <dcterms:modified xsi:type="dcterms:W3CDTF">2025-04-23T02:22:14Z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6536D0F415BE463DB0D3C9A51FF32B77_13</vt:lpwstr>
  </property>
  <property fmtid="{D5CDD505-2E9C-101B-9397-08002B2CF9AE}" pid="4" name="KSOTemplateDocerSaveRecord">
    <vt:lpwstr>eyJoZGlkIjoiMzEwNTM5NzYwMDRjMzkwZTVkZjY2ODkwMGIxNGU0OTUiLCJ1c2VySWQiOiIxMTcxMDQ1MzEwIn0=</vt:lpwstr>
  </property>
</Properties>
</file>